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49C5" w14:textId="77777777" w:rsidR="005570DF" w:rsidRDefault="005570DF" w:rsidP="005570DF">
      <w:pPr>
        <w:jc w:val="center"/>
        <w:rPr>
          <w:b/>
          <w:bCs/>
          <w:u w:val="single"/>
        </w:rPr>
      </w:pPr>
      <w:r>
        <w:rPr>
          <w:b/>
          <w:bCs/>
          <w:u w:val="single"/>
        </w:rPr>
        <w:t>Independent Water Networks Limited (IWNL) Pollution Incident Reduction Plan (</w:t>
      </w:r>
      <w:r w:rsidRPr="00845CF2">
        <w:rPr>
          <w:b/>
          <w:bCs/>
          <w:u w:val="single"/>
        </w:rPr>
        <w:t>PIRP</w:t>
      </w:r>
      <w:r>
        <w:rPr>
          <w:b/>
          <w:bCs/>
          <w:u w:val="single"/>
        </w:rPr>
        <w:t>)</w:t>
      </w:r>
      <w:r w:rsidRPr="00845CF2">
        <w:rPr>
          <w:b/>
          <w:bCs/>
          <w:u w:val="single"/>
        </w:rPr>
        <w:t xml:space="preserve"> – </w:t>
      </w:r>
      <w:r>
        <w:rPr>
          <w:b/>
          <w:bCs/>
          <w:u w:val="single"/>
        </w:rPr>
        <w:t>1</w:t>
      </w:r>
      <w:r w:rsidRPr="004F32DC">
        <w:rPr>
          <w:b/>
          <w:bCs/>
          <w:u w:val="single"/>
          <w:vertAlign w:val="superscript"/>
        </w:rPr>
        <w:t>st</w:t>
      </w:r>
      <w:r>
        <w:rPr>
          <w:b/>
          <w:bCs/>
          <w:u w:val="single"/>
        </w:rPr>
        <w:t xml:space="preserve"> </w:t>
      </w:r>
      <w:r w:rsidRPr="00845CF2">
        <w:rPr>
          <w:b/>
          <w:bCs/>
          <w:u w:val="single"/>
        </w:rPr>
        <w:t>April 2026</w:t>
      </w:r>
    </w:p>
    <w:p w14:paraId="5C33EFF1" w14:textId="77777777" w:rsidR="005570DF" w:rsidRPr="004F32DC" w:rsidRDefault="005570DF" w:rsidP="005570DF">
      <w:pPr>
        <w:tabs>
          <w:tab w:val="left" w:pos="3440"/>
        </w:tabs>
        <w:rPr>
          <w:b/>
          <w:bCs/>
          <w:u w:val="single"/>
        </w:rPr>
      </w:pPr>
      <w:r w:rsidRPr="004F32DC">
        <w:rPr>
          <w:b/>
          <w:bCs/>
          <w:u w:val="single"/>
        </w:rPr>
        <w:t>Chief Executive declaration</w:t>
      </w:r>
    </w:p>
    <w:p w14:paraId="4F88E789" w14:textId="77777777" w:rsidR="005570DF" w:rsidRDefault="005570DF" w:rsidP="005570DF">
      <w:pPr>
        <w:rPr>
          <w:b/>
          <w:bCs/>
        </w:rPr>
      </w:pPr>
      <w:r>
        <w:rPr>
          <w:b/>
          <w:bCs/>
        </w:rPr>
        <w:t xml:space="preserve">I hereby attest that I have </w:t>
      </w:r>
      <w:r w:rsidRPr="00456873">
        <w:rPr>
          <w:b/>
          <w:bCs/>
        </w:rPr>
        <w:t xml:space="preserve">personally </w:t>
      </w:r>
      <w:r>
        <w:rPr>
          <w:b/>
          <w:bCs/>
        </w:rPr>
        <w:t xml:space="preserve">reviewed and </w:t>
      </w:r>
      <w:r w:rsidRPr="00456873">
        <w:rPr>
          <w:b/>
          <w:bCs/>
        </w:rPr>
        <w:t xml:space="preserve">approved </w:t>
      </w:r>
      <w:r>
        <w:rPr>
          <w:b/>
          <w:bCs/>
        </w:rPr>
        <w:t>the IWNL PIRP, 2025</w:t>
      </w:r>
      <w:r w:rsidRPr="00456873">
        <w:rPr>
          <w:b/>
          <w:bCs/>
        </w:rPr>
        <w:t>.</w:t>
      </w:r>
    </w:p>
    <w:p w14:paraId="52275DB1" w14:textId="77777777" w:rsidR="005570DF" w:rsidRDefault="005570DF" w:rsidP="005570DF">
      <w:pPr>
        <w:rPr>
          <w:b/>
          <w:bCs/>
        </w:rPr>
      </w:pPr>
    </w:p>
    <w:p w14:paraId="4B4230DB" w14:textId="77777777" w:rsidR="005570DF" w:rsidRDefault="005570DF" w:rsidP="005570DF">
      <w:pPr>
        <w:rPr>
          <w:b/>
          <w:bCs/>
        </w:rPr>
      </w:pPr>
      <w:r>
        <w:rPr>
          <w:b/>
          <w:bCs/>
        </w:rPr>
        <w:t>Signed:</w:t>
      </w:r>
      <w:r>
        <w:rPr>
          <w:b/>
          <w:bCs/>
        </w:rPr>
        <w:tab/>
      </w:r>
      <w:r>
        <w:rPr>
          <w:b/>
          <w:bCs/>
        </w:rPr>
        <w:tab/>
      </w:r>
      <w:r>
        <w:rPr>
          <w:b/>
          <w:bCs/>
        </w:rPr>
        <w:tab/>
      </w:r>
      <w:r>
        <w:rPr>
          <w:b/>
          <w:bCs/>
        </w:rPr>
        <w:tab/>
      </w:r>
      <w:r>
        <w:rPr>
          <w:b/>
          <w:bCs/>
        </w:rPr>
        <w:tab/>
      </w:r>
      <w:r>
        <w:rPr>
          <w:b/>
          <w:bCs/>
        </w:rPr>
        <w:tab/>
      </w:r>
      <w:r>
        <w:rPr>
          <w:b/>
          <w:bCs/>
        </w:rPr>
        <w:tab/>
        <w:t>Dated:</w:t>
      </w:r>
    </w:p>
    <w:p w14:paraId="45592E6E" w14:textId="77777777" w:rsidR="005570DF" w:rsidRDefault="005570DF" w:rsidP="005570DF">
      <w:pPr>
        <w:pBdr>
          <w:bottom w:val="single" w:sz="12" w:space="1" w:color="auto"/>
        </w:pBdr>
        <w:rPr>
          <w:b/>
          <w:bCs/>
        </w:rPr>
      </w:pPr>
      <w:r>
        <w:rPr>
          <w:b/>
          <w:bCs/>
        </w:rPr>
        <w:t>Title: Chief Executive Officer, BUUK</w:t>
      </w:r>
    </w:p>
    <w:p w14:paraId="77DDBBA1" w14:textId="77777777" w:rsidR="005570DF" w:rsidRDefault="005570DF" w:rsidP="005570DF">
      <w:pPr>
        <w:pBdr>
          <w:bottom w:val="single" w:sz="12" w:space="1" w:color="auto"/>
        </w:pBdr>
        <w:rPr>
          <w:b/>
          <w:bCs/>
        </w:rPr>
      </w:pPr>
    </w:p>
    <w:p w14:paraId="5E2B19C8" w14:textId="77777777" w:rsidR="005570DF" w:rsidRPr="00270671" w:rsidRDefault="005570DF" w:rsidP="005570DF">
      <w:r>
        <w:t>Section 3 of the Water (Special Measures) Act 2025 (the Act) specifies that “</w:t>
      </w:r>
      <w:r w:rsidRPr="0099378B">
        <w:t xml:space="preserve">Each </w:t>
      </w:r>
      <w:r w:rsidRPr="0099378B">
        <w:rPr>
          <w:b/>
          <w:bCs/>
        </w:rPr>
        <w:t>relevant</w:t>
      </w:r>
      <w:r w:rsidRPr="0099378B">
        <w:t xml:space="preserve"> undertaker must, before 1 April in each calendar year, prepare and publish a pollution incident reduction plan</w:t>
      </w:r>
      <w:r>
        <w:t>”</w:t>
      </w:r>
      <w:r w:rsidRPr="0099378B">
        <w:t>.</w:t>
      </w:r>
      <w:r>
        <w:t xml:space="preserve"> </w:t>
      </w:r>
      <w:r w:rsidRPr="00270671">
        <w:t>Section 205A (4) of the Act states that a PIRP must address in particular:</w:t>
      </w:r>
    </w:p>
    <w:p w14:paraId="3688FE33" w14:textId="77777777" w:rsidR="005570DF" w:rsidRPr="00270671" w:rsidRDefault="005570DF" w:rsidP="005570DF">
      <w:pPr>
        <w:spacing w:after="0"/>
        <w:ind w:firstLine="720"/>
      </w:pPr>
      <w:r w:rsidRPr="00270671">
        <w:t>a) the frequency with which pollution incidents have occurred during the preceding calendar year,</w:t>
      </w:r>
    </w:p>
    <w:p w14:paraId="408CBDA0" w14:textId="77777777" w:rsidR="005570DF" w:rsidRPr="00270671" w:rsidRDefault="005570DF" w:rsidP="005570DF">
      <w:pPr>
        <w:spacing w:after="0"/>
        <w:ind w:firstLine="720"/>
      </w:pPr>
      <w:r w:rsidRPr="00270671">
        <w:t>b) the seriousness of those incidents and their causes,</w:t>
      </w:r>
    </w:p>
    <w:p w14:paraId="72536775" w14:textId="77777777" w:rsidR="005570DF" w:rsidRPr="00270671" w:rsidRDefault="005570DF" w:rsidP="005570DF">
      <w:pPr>
        <w:spacing w:after="0"/>
        <w:ind w:left="720"/>
      </w:pPr>
      <w:r w:rsidRPr="00270671">
        <w:t>c) the steps the undertaker has taken to maintain any structure or apparatus comprised in its system which has been the cause of any such incidents,</w:t>
      </w:r>
    </w:p>
    <w:p w14:paraId="04B4E686" w14:textId="77777777" w:rsidR="005570DF" w:rsidRPr="00270671" w:rsidRDefault="005570DF" w:rsidP="005570DF">
      <w:pPr>
        <w:spacing w:after="0"/>
        <w:ind w:firstLine="720"/>
      </w:pPr>
      <w:r w:rsidRPr="00270671">
        <w:t>d) the measures the undertaker intends to take or continue for the purpose of reducing the occurrence of pollution incidents,</w:t>
      </w:r>
    </w:p>
    <w:p w14:paraId="2AFC4F43" w14:textId="77777777" w:rsidR="005570DF" w:rsidRPr="00270671" w:rsidRDefault="005570DF" w:rsidP="005570DF">
      <w:pPr>
        <w:spacing w:after="0"/>
        <w:ind w:firstLine="720"/>
      </w:pPr>
      <w:r w:rsidRPr="00270671">
        <w:t>e) the impact that the undertaker considers the measures will have in furthering that purpose,</w:t>
      </w:r>
    </w:p>
    <w:p w14:paraId="2C799A1A" w14:textId="77777777" w:rsidR="005570DF" w:rsidRPr="00270671" w:rsidRDefault="005570DF" w:rsidP="005570DF">
      <w:pPr>
        <w:spacing w:after="0"/>
        <w:ind w:firstLine="720"/>
      </w:pPr>
      <w:r w:rsidRPr="00270671">
        <w:t>f) the likely sequence and timing for implementing those measures, and</w:t>
      </w:r>
    </w:p>
    <w:p w14:paraId="5019AC57" w14:textId="77777777" w:rsidR="005570DF" w:rsidRPr="00270671" w:rsidRDefault="005570DF" w:rsidP="005570DF">
      <w:pPr>
        <w:spacing w:after="0"/>
        <w:ind w:firstLine="720"/>
      </w:pPr>
      <w:r w:rsidRPr="00270671">
        <w:t>g) any other matters specified by the Minister in directions.</w:t>
      </w:r>
    </w:p>
    <w:p w14:paraId="03F557BB" w14:textId="77777777" w:rsidR="005570DF" w:rsidRDefault="005570DF" w:rsidP="005570DF">
      <w:pPr>
        <w:spacing w:after="0"/>
      </w:pPr>
    </w:p>
    <w:p w14:paraId="76335767" w14:textId="77777777" w:rsidR="005570DF" w:rsidRDefault="005570DF" w:rsidP="005570DF">
      <w:r>
        <w:t>The following sections of this report present data relevant to each of the individual points set out in Section 205</w:t>
      </w:r>
      <w:proofErr w:type="gramStart"/>
      <w:r>
        <w:t>A(</w:t>
      </w:r>
      <w:proofErr w:type="gramEnd"/>
      <w:r>
        <w:t xml:space="preserve">4) of the Act, replicated above. </w:t>
      </w:r>
    </w:p>
    <w:p w14:paraId="2AAD0CA5" w14:textId="77777777" w:rsidR="005570DF" w:rsidRDefault="005570DF" w:rsidP="005570DF">
      <w:r>
        <w:t>In reading this report, it is important to be aware of the context in which IWNL operates. In this respect, IWNL is an independent new appointee (NAV) that provides last-mile water and wastewater network connections, primarily to new housing developments. O</w:t>
      </w:r>
      <w:r w:rsidRPr="0099378B">
        <w:t>ur networks are discrete and self-contained</w:t>
      </w:r>
      <w:r>
        <w:t xml:space="preserve">, which means that </w:t>
      </w:r>
      <w:r w:rsidRPr="0099378B">
        <w:t>we do not have any direct discharges to the environment. Our only point of discharge is the one that connects our NAV assets to the incumbent network</w:t>
      </w:r>
      <w:r>
        <w:t>,</w:t>
      </w:r>
      <w:r w:rsidRPr="0099378B">
        <w:t xml:space="preserve"> and this is underpinned by a contractual agreement (a bulk discharge agreement (BDA))</w:t>
      </w:r>
      <w:r>
        <w:t xml:space="preserve"> with the relevant incumbent water company</w:t>
      </w:r>
      <w:r w:rsidRPr="0099378B">
        <w:t xml:space="preserve">.  </w:t>
      </w:r>
      <w:r>
        <w:t xml:space="preserve">Most </w:t>
      </w:r>
      <w:r w:rsidRPr="0099378B">
        <w:t>NAVs do not own any wastewater treatment assets and therefore do not face any risk of sewerage overspills.</w:t>
      </w:r>
    </w:p>
    <w:p w14:paraId="0E82488A" w14:textId="77777777" w:rsidR="00270671" w:rsidRDefault="00270671" w:rsidP="000C0819"/>
    <w:p w14:paraId="260ECAD6" w14:textId="77777777" w:rsidR="005E3EEA" w:rsidRDefault="005E3EEA" w:rsidP="005570DF"/>
    <w:tbl>
      <w:tblPr>
        <w:tblpPr w:leftFromText="180" w:rightFromText="180" w:vertAnchor="page" w:horzAnchor="margin" w:tblpY="1542"/>
        <w:tblW w:w="14889" w:type="dxa"/>
        <w:tblLook w:val="04A0" w:firstRow="1" w:lastRow="0" w:firstColumn="1" w:lastColumn="0" w:noHBand="0" w:noVBand="1"/>
      </w:tblPr>
      <w:tblGrid>
        <w:gridCol w:w="1938"/>
        <w:gridCol w:w="4423"/>
        <w:gridCol w:w="4424"/>
        <w:gridCol w:w="4104"/>
      </w:tblGrid>
      <w:tr w:rsidR="00353B53" w:rsidRPr="00FA4874" w14:paraId="3F6E0A66" w14:textId="77777777" w:rsidTr="00353B53">
        <w:trPr>
          <w:trHeight w:val="272"/>
        </w:trPr>
        <w:tc>
          <w:tcPr>
            <w:tcW w:w="10785" w:type="dxa"/>
            <w:gridSpan w:val="3"/>
            <w:tcBorders>
              <w:top w:val="nil"/>
              <w:left w:val="nil"/>
              <w:bottom w:val="nil"/>
              <w:right w:val="nil"/>
            </w:tcBorders>
            <w:noWrap/>
            <w:vAlign w:val="bottom"/>
            <w:hideMark/>
          </w:tcPr>
          <w:p w14:paraId="599883D2" w14:textId="489C02A3" w:rsidR="00353B53" w:rsidRPr="00FA4874" w:rsidRDefault="005570DF" w:rsidP="00353B53">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TABLE 1: </w:t>
            </w:r>
            <w:r w:rsidR="00353B53" w:rsidRPr="00FA4874">
              <w:rPr>
                <w:rFonts w:ascii="Aptos Narrow" w:eastAsia="Times New Roman" w:hAnsi="Aptos Narrow" w:cs="Times New Roman"/>
                <w:b/>
                <w:bCs/>
                <w:color w:val="000000"/>
                <w:kern w:val="0"/>
                <w:lang w:eastAsia="en-GB"/>
                <w14:ligatures w14:val="none"/>
              </w:rPr>
              <w:t xml:space="preserve">FREQUENCY AND SERIOUSNESS OF POLLUTION INCIDENTS FROM ALL </w:t>
            </w:r>
            <w:r w:rsidR="00353B53">
              <w:rPr>
                <w:rFonts w:ascii="Aptos Narrow" w:eastAsia="Times New Roman" w:hAnsi="Aptos Narrow" w:cs="Times New Roman"/>
                <w:b/>
                <w:bCs/>
                <w:color w:val="000000"/>
                <w:kern w:val="0"/>
                <w:lang w:eastAsia="en-GB"/>
                <w14:ligatures w14:val="none"/>
              </w:rPr>
              <w:t>W</w:t>
            </w:r>
            <w:r w:rsidR="00353B53" w:rsidRPr="00FA4874">
              <w:rPr>
                <w:rFonts w:ascii="Aptos Narrow" w:eastAsia="Times New Roman" w:hAnsi="Aptos Narrow" w:cs="Times New Roman"/>
                <w:b/>
                <w:bCs/>
                <w:color w:val="000000"/>
                <w:kern w:val="0"/>
                <w:lang w:eastAsia="en-GB"/>
                <w14:ligatures w14:val="none"/>
              </w:rPr>
              <w:t>ASTE ASSET TYPES IN 2025</w:t>
            </w:r>
          </w:p>
        </w:tc>
        <w:tc>
          <w:tcPr>
            <w:tcW w:w="4104" w:type="dxa"/>
            <w:tcBorders>
              <w:top w:val="nil"/>
              <w:left w:val="nil"/>
              <w:bottom w:val="nil"/>
              <w:right w:val="nil"/>
            </w:tcBorders>
            <w:noWrap/>
            <w:vAlign w:val="bottom"/>
            <w:hideMark/>
          </w:tcPr>
          <w:p w14:paraId="4B05FAA9" w14:textId="77777777" w:rsidR="00353B53" w:rsidRPr="00FA4874" w:rsidRDefault="00353B53" w:rsidP="00353B53">
            <w:pPr>
              <w:spacing w:after="0" w:line="240" w:lineRule="auto"/>
              <w:rPr>
                <w:rFonts w:ascii="Aptos Narrow" w:eastAsia="Times New Roman" w:hAnsi="Aptos Narrow" w:cs="Times New Roman"/>
                <w:b/>
                <w:bCs/>
                <w:color w:val="000000"/>
                <w:kern w:val="0"/>
                <w:lang w:eastAsia="en-GB"/>
                <w14:ligatures w14:val="none"/>
              </w:rPr>
            </w:pPr>
          </w:p>
        </w:tc>
      </w:tr>
      <w:tr w:rsidR="00353B53" w:rsidRPr="00FA4874" w14:paraId="147B1465" w14:textId="77777777" w:rsidTr="00353B53">
        <w:trPr>
          <w:trHeight w:val="272"/>
        </w:trPr>
        <w:tc>
          <w:tcPr>
            <w:tcW w:w="1938" w:type="dxa"/>
            <w:tcBorders>
              <w:top w:val="single" w:sz="4" w:space="0" w:color="auto"/>
              <w:left w:val="single" w:sz="4" w:space="0" w:color="auto"/>
              <w:bottom w:val="single" w:sz="4" w:space="0" w:color="auto"/>
              <w:right w:val="single" w:sz="4" w:space="0" w:color="auto"/>
            </w:tcBorders>
            <w:shd w:val="clear" w:color="000000" w:fill="4EA72E"/>
            <w:noWrap/>
            <w:vAlign w:val="center"/>
            <w:hideMark/>
          </w:tcPr>
          <w:p w14:paraId="7B91BF32" w14:textId="77777777" w:rsidR="00353B53" w:rsidRPr="00FA4874" w:rsidRDefault="00353B53" w:rsidP="00353B53">
            <w:pPr>
              <w:spacing w:after="0" w:line="240" w:lineRule="auto"/>
              <w:jc w:val="center"/>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MONTH</w:t>
            </w:r>
          </w:p>
        </w:tc>
        <w:tc>
          <w:tcPr>
            <w:tcW w:w="4423" w:type="dxa"/>
            <w:tcBorders>
              <w:top w:val="single" w:sz="4" w:space="0" w:color="auto"/>
              <w:left w:val="nil"/>
              <w:bottom w:val="single" w:sz="4" w:space="0" w:color="auto"/>
              <w:right w:val="single" w:sz="4" w:space="0" w:color="auto"/>
            </w:tcBorders>
            <w:shd w:val="clear" w:color="000000" w:fill="4EA72E"/>
            <w:noWrap/>
            <w:vAlign w:val="center"/>
            <w:hideMark/>
          </w:tcPr>
          <w:p w14:paraId="2160E0B2" w14:textId="77777777" w:rsidR="00353B53" w:rsidRPr="00FA4874" w:rsidRDefault="00353B53" w:rsidP="00353B53">
            <w:pPr>
              <w:spacing w:after="0" w:line="240" w:lineRule="auto"/>
              <w:jc w:val="center"/>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CATEGORY 1 POLLUTION INCIDENTS</w:t>
            </w:r>
          </w:p>
        </w:tc>
        <w:tc>
          <w:tcPr>
            <w:tcW w:w="4424" w:type="dxa"/>
            <w:tcBorders>
              <w:top w:val="single" w:sz="4" w:space="0" w:color="auto"/>
              <w:left w:val="nil"/>
              <w:bottom w:val="single" w:sz="4" w:space="0" w:color="auto"/>
              <w:right w:val="single" w:sz="4" w:space="0" w:color="auto"/>
            </w:tcBorders>
            <w:shd w:val="clear" w:color="000000" w:fill="4EA72E"/>
            <w:noWrap/>
            <w:vAlign w:val="center"/>
            <w:hideMark/>
          </w:tcPr>
          <w:p w14:paraId="1C98C623" w14:textId="77777777" w:rsidR="00353B53" w:rsidRPr="00FA4874" w:rsidRDefault="00353B53" w:rsidP="00353B53">
            <w:pPr>
              <w:spacing w:after="0" w:line="240" w:lineRule="auto"/>
              <w:jc w:val="center"/>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CATEGORY 2 POLLUTION INCIDENTS</w:t>
            </w:r>
          </w:p>
        </w:tc>
        <w:tc>
          <w:tcPr>
            <w:tcW w:w="4104" w:type="dxa"/>
            <w:tcBorders>
              <w:top w:val="single" w:sz="4" w:space="0" w:color="auto"/>
              <w:left w:val="nil"/>
              <w:bottom w:val="single" w:sz="4" w:space="0" w:color="auto"/>
              <w:right w:val="single" w:sz="4" w:space="0" w:color="auto"/>
            </w:tcBorders>
            <w:shd w:val="clear" w:color="000000" w:fill="4EA72E"/>
            <w:noWrap/>
            <w:vAlign w:val="center"/>
            <w:hideMark/>
          </w:tcPr>
          <w:p w14:paraId="2BF5EC68" w14:textId="77777777" w:rsidR="00353B53" w:rsidRPr="00FA4874" w:rsidRDefault="00353B53" w:rsidP="00353B53">
            <w:pPr>
              <w:spacing w:after="0" w:line="240" w:lineRule="auto"/>
              <w:jc w:val="center"/>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CATEGORY 3 POLLUTION INCIDENTS</w:t>
            </w:r>
          </w:p>
        </w:tc>
      </w:tr>
      <w:tr w:rsidR="00353B53" w:rsidRPr="00FA4874" w14:paraId="20AED5F3"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50CA2C86"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JANUARY</w:t>
            </w:r>
          </w:p>
        </w:tc>
        <w:tc>
          <w:tcPr>
            <w:tcW w:w="4423" w:type="dxa"/>
            <w:tcBorders>
              <w:top w:val="nil"/>
              <w:left w:val="nil"/>
              <w:bottom w:val="single" w:sz="4" w:space="0" w:color="auto"/>
              <w:right w:val="single" w:sz="4" w:space="0" w:color="auto"/>
            </w:tcBorders>
            <w:noWrap/>
            <w:vAlign w:val="bottom"/>
            <w:hideMark/>
          </w:tcPr>
          <w:p w14:paraId="771AF59B"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604D2ED9"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0C0B1845"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3AF6B454"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6E529EAC"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FEBRUARY</w:t>
            </w:r>
          </w:p>
        </w:tc>
        <w:tc>
          <w:tcPr>
            <w:tcW w:w="4423" w:type="dxa"/>
            <w:tcBorders>
              <w:top w:val="nil"/>
              <w:left w:val="nil"/>
              <w:bottom w:val="single" w:sz="4" w:space="0" w:color="auto"/>
              <w:right w:val="single" w:sz="4" w:space="0" w:color="auto"/>
            </w:tcBorders>
            <w:noWrap/>
            <w:vAlign w:val="bottom"/>
            <w:hideMark/>
          </w:tcPr>
          <w:p w14:paraId="729E0CB1"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3459C4D5"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72E0F3D2"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37CF6247"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2570C9DE"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MARCH</w:t>
            </w:r>
          </w:p>
        </w:tc>
        <w:tc>
          <w:tcPr>
            <w:tcW w:w="4423" w:type="dxa"/>
            <w:tcBorders>
              <w:top w:val="nil"/>
              <w:left w:val="nil"/>
              <w:bottom w:val="single" w:sz="4" w:space="0" w:color="auto"/>
              <w:right w:val="single" w:sz="4" w:space="0" w:color="auto"/>
            </w:tcBorders>
            <w:noWrap/>
            <w:vAlign w:val="bottom"/>
            <w:hideMark/>
          </w:tcPr>
          <w:p w14:paraId="72FD0AD5"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70958EA1"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348D9D11"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42C1FD6E"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29FA141D"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APRIL</w:t>
            </w:r>
          </w:p>
        </w:tc>
        <w:tc>
          <w:tcPr>
            <w:tcW w:w="4423" w:type="dxa"/>
            <w:tcBorders>
              <w:top w:val="nil"/>
              <w:left w:val="nil"/>
              <w:bottom w:val="single" w:sz="4" w:space="0" w:color="auto"/>
              <w:right w:val="single" w:sz="4" w:space="0" w:color="auto"/>
            </w:tcBorders>
            <w:noWrap/>
            <w:vAlign w:val="bottom"/>
            <w:hideMark/>
          </w:tcPr>
          <w:p w14:paraId="79E25999"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7B944434"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02098863"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187375E7"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27243909"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MAY</w:t>
            </w:r>
          </w:p>
        </w:tc>
        <w:tc>
          <w:tcPr>
            <w:tcW w:w="4423" w:type="dxa"/>
            <w:tcBorders>
              <w:top w:val="nil"/>
              <w:left w:val="nil"/>
              <w:bottom w:val="single" w:sz="4" w:space="0" w:color="auto"/>
              <w:right w:val="single" w:sz="4" w:space="0" w:color="auto"/>
            </w:tcBorders>
            <w:noWrap/>
            <w:vAlign w:val="bottom"/>
            <w:hideMark/>
          </w:tcPr>
          <w:p w14:paraId="33ACD11B"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07DED38D"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0A667A6E"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2FF4CA1A"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207ECB47"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JUNE</w:t>
            </w:r>
          </w:p>
        </w:tc>
        <w:tc>
          <w:tcPr>
            <w:tcW w:w="4423" w:type="dxa"/>
            <w:tcBorders>
              <w:top w:val="nil"/>
              <w:left w:val="nil"/>
              <w:bottom w:val="single" w:sz="4" w:space="0" w:color="auto"/>
              <w:right w:val="single" w:sz="4" w:space="0" w:color="auto"/>
            </w:tcBorders>
            <w:noWrap/>
            <w:vAlign w:val="bottom"/>
            <w:hideMark/>
          </w:tcPr>
          <w:p w14:paraId="3B492AA6"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00F60391"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78F37C4F"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5A3ECCA7"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5CFA1FEF"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JULY</w:t>
            </w:r>
          </w:p>
        </w:tc>
        <w:tc>
          <w:tcPr>
            <w:tcW w:w="4423" w:type="dxa"/>
            <w:tcBorders>
              <w:top w:val="nil"/>
              <w:left w:val="nil"/>
              <w:bottom w:val="single" w:sz="4" w:space="0" w:color="auto"/>
              <w:right w:val="single" w:sz="4" w:space="0" w:color="auto"/>
            </w:tcBorders>
            <w:noWrap/>
            <w:vAlign w:val="bottom"/>
            <w:hideMark/>
          </w:tcPr>
          <w:p w14:paraId="02A80186"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024F222A"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30DE4661"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2550537B"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363DF790"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AUGUST</w:t>
            </w:r>
          </w:p>
        </w:tc>
        <w:tc>
          <w:tcPr>
            <w:tcW w:w="4423" w:type="dxa"/>
            <w:tcBorders>
              <w:top w:val="nil"/>
              <w:left w:val="nil"/>
              <w:bottom w:val="single" w:sz="4" w:space="0" w:color="auto"/>
              <w:right w:val="single" w:sz="4" w:space="0" w:color="auto"/>
            </w:tcBorders>
            <w:noWrap/>
            <w:vAlign w:val="bottom"/>
            <w:hideMark/>
          </w:tcPr>
          <w:p w14:paraId="024F2170"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30C27C29"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30220CC3"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395D550E"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159F69D5"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SEPTEMBER</w:t>
            </w:r>
          </w:p>
        </w:tc>
        <w:tc>
          <w:tcPr>
            <w:tcW w:w="4423" w:type="dxa"/>
            <w:tcBorders>
              <w:top w:val="nil"/>
              <w:left w:val="nil"/>
              <w:bottom w:val="single" w:sz="4" w:space="0" w:color="auto"/>
              <w:right w:val="single" w:sz="4" w:space="0" w:color="auto"/>
            </w:tcBorders>
            <w:noWrap/>
            <w:vAlign w:val="bottom"/>
            <w:hideMark/>
          </w:tcPr>
          <w:p w14:paraId="1FABC32F"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1B6B9B66"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0A3549D0"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0730B071"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4C94BF2B"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OCTOBER</w:t>
            </w:r>
          </w:p>
        </w:tc>
        <w:tc>
          <w:tcPr>
            <w:tcW w:w="4423" w:type="dxa"/>
            <w:tcBorders>
              <w:top w:val="nil"/>
              <w:left w:val="nil"/>
              <w:bottom w:val="single" w:sz="4" w:space="0" w:color="auto"/>
              <w:right w:val="single" w:sz="4" w:space="0" w:color="auto"/>
            </w:tcBorders>
            <w:noWrap/>
            <w:vAlign w:val="bottom"/>
            <w:hideMark/>
          </w:tcPr>
          <w:p w14:paraId="0176C099"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43C7573E"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516ABF10"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291DAE4A"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71ED9A8B"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NOVEMBER</w:t>
            </w:r>
          </w:p>
        </w:tc>
        <w:tc>
          <w:tcPr>
            <w:tcW w:w="4423" w:type="dxa"/>
            <w:tcBorders>
              <w:top w:val="nil"/>
              <w:left w:val="nil"/>
              <w:bottom w:val="single" w:sz="4" w:space="0" w:color="auto"/>
              <w:right w:val="single" w:sz="4" w:space="0" w:color="auto"/>
            </w:tcBorders>
            <w:noWrap/>
            <w:vAlign w:val="bottom"/>
            <w:hideMark/>
          </w:tcPr>
          <w:p w14:paraId="434EA8E1"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3BB1863F"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2477F5CE"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r w:rsidR="00353B53" w:rsidRPr="00FA4874" w14:paraId="54637625" w14:textId="77777777" w:rsidTr="00353B53">
        <w:trPr>
          <w:trHeight w:val="272"/>
        </w:trPr>
        <w:tc>
          <w:tcPr>
            <w:tcW w:w="1938" w:type="dxa"/>
            <w:tcBorders>
              <w:top w:val="nil"/>
              <w:left w:val="single" w:sz="4" w:space="0" w:color="auto"/>
              <w:bottom w:val="single" w:sz="4" w:space="0" w:color="auto"/>
              <w:right w:val="single" w:sz="4" w:space="0" w:color="auto"/>
            </w:tcBorders>
            <w:shd w:val="clear" w:color="000000" w:fill="DAF2D0"/>
            <w:noWrap/>
            <w:vAlign w:val="bottom"/>
            <w:hideMark/>
          </w:tcPr>
          <w:p w14:paraId="72B4072D"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DECEMBER</w:t>
            </w:r>
          </w:p>
        </w:tc>
        <w:tc>
          <w:tcPr>
            <w:tcW w:w="4423" w:type="dxa"/>
            <w:tcBorders>
              <w:top w:val="nil"/>
              <w:left w:val="nil"/>
              <w:bottom w:val="single" w:sz="4" w:space="0" w:color="auto"/>
              <w:right w:val="single" w:sz="4" w:space="0" w:color="auto"/>
            </w:tcBorders>
            <w:noWrap/>
            <w:vAlign w:val="bottom"/>
            <w:hideMark/>
          </w:tcPr>
          <w:p w14:paraId="7F842F52"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424" w:type="dxa"/>
            <w:tcBorders>
              <w:top w:val="nil"/>
              <w:left w:val="nil"/>
              <w:bottom w:val="single" w:sz="4" w:space="0" w:color="auto"/>
              <w:right w:val="single" w:sz="4" w:space="0" w:color="auto"/>
            </w:tcBorders>
            <w:noWrap/>
            <w:vAlign w:val="bottom"/>
            <w:hideMark/>
          </w:tcPr>
          <w:p w14:paraId="0D18653D"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c>
          <w:tcPr>
            <w:tcW w:w="4104" w:type="dxa"/>
            <w:tcBorders>
              <w:top w:val="nil"/>
              <w:left w:val="nil"/>
              <w:bottom w:val="single" w:sz="4" w:space="0" w:color="auto"/>
              <w:right w:val="single" w:sz="4" w:space="0" w:color="auto"/>
            </w:tcBorders>
            <w:noWrap/>
            <w:vAlign w:val="bottom"/>
            <w:hideMark/>
          </w:tcPr>
          <w:p w14:paraId="7BF07FCB" w14:textId="77777777" w:rsidR="00353B53" w:rsidRPr="00FA4874" w:rsidRDefault="00353B53" w:rsidP="00353B53">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0</w:t>
            </w:r>
          </w:p>
        </w:tc>
      </w:tr>
    </w:tbl>
    <w:p w14:paraId="212D9BF2" w14:textId="77777777" w:rsidR="005570DF" w:rsidRDefault="005570DF" w:rsidP="005570DF">
      <w:pPr>
        <w:tabs>
          <w:tab w:val="left" w:pos="3440"/>
        </w:tabs>
      </w:pPr>
      <w:r w:rsidRPr="00353B53">
        <w:t xml:space="preserve">Table </w:t>
      </w:r>
      <w:r>
        <w:t xml:space="preserve">1 </w:t>
      </w:r>
      <w:r w:rsidRPr="00353B53">
        <w:t xml:space="preserve">above demonstrates that, during the year 2025, IWNL </w:t>
      </w:r>
      <w:r>
        <w:t xml:space="preserve">did </w:t>
      </w:r>
      <w:r w:rsidRPr="00353B53">
        <w:t>no</w:t>
      </w:r>
      <w:r>
        <w:t>t have any</w:t>
      </w:r>
      <w:r w:rsidRPr="00353B53">
        <w:t xml:space="preserve"> reportable pollution incidents in any of the three categories of the Environment Agency (EA).</w:t>
      </w:r>
      <w:r>
        <w:t xml:space="preserve"> The categories from Table 1 are defined as:</w:t>
      </w:r>
    </w:p>
    <w:p w14:paraId="6DC45D04" w14:textId="77777777" w:rsidR="005570DF" w:rsidRPr="00B82DDE" w:rsidRDefault="005570DF" w:rsidP="005570DF">
      <w:pPr>
        <w:numPr>
          <w:ilvl w:val="0"/>
          <w:numId w:val="2"/>
        </w:numPr>
        <w:spacing w:after="0"/>
        <w:ind w:left="714" w:hanging="357"/>
        <w:rPr>
          <w:u w:val="single"/>
        </w:rPr>
      </w:pPr>
      <w:r w:rsidRPr="00B82DDE">
        <w:rPr>
          <w:u w:val="single"/>
        </w:rPr>
        <w:t>Category 1 – major, serious, persistent or extensive impact or effect on the environment, people and / or property or on our operations</w:t>
      </w:r>
    </w:p>
    <w:p w14:paraId="213154F2" w14:textId="77777777" w:rsidR="005570DF" w:rsidRPr="00B82DDE" w:rsidRDefault="005570DF" w:rsidP="005570DF">
      <w:pPr>
        <w:numPr>
          <w:ilvl w:val="0"/>
          <w:numId w:val="2"/>
        </w:numPr>
        <w:spacing w:after="0"/>
        <w:ind w:left="714" w:hanging="357"/>
        <w:rPr>
          <w:u w:val="single"/>
        </w:rPr>
      </w:pPr>
      <w:r w:rsidRPr="00B82DDE">
        <w:rPr>
          <w:u w:val="single"/>
        </w:rPr>
        <w:t>Category 2 – significant impact or effect on the environment, people and / or property or on our operations</w:t>
      </w:r>
    </w:p>
    <w:p w14:paraId="7C94905E" w14:textId="77777777" w:rsidR="005570DF" w:rsidRDefault="005570DF" w:rsidP="005570DF">
      <w:pPr>
        <w:numPr>
          <w:ilvl w:val="0"/>
          <w:numId w:val="2"/>
        </w:numPr>
        <w:spacing w:after="0"/>
        <w:ind w:left="714" w:hanging="357"/>
        <w:rPr>
          <w:u w:val="single"/>
        </w:rPr>
      </w:pPr>
      <w:r w:rsidRPr="00B82DDE">
        <w:rPr>
          <w:u w:val="single"/>
        </w:rPr>
        <w:t>Category 3 – minor or minimal impact or effect on the environment, people and/or property or on our operations</w:t>
      </w:r>
    </w:p>
    <w:p w14:paraId="6A7358C9" w14:textId="77777777" w:rsidR="005570DF" w:rsidRDefault="005570DF" w:rsidP="005570DF">
      <w:pPr>
        <w:spacing w:after="0"/>
        <w:rPr>
          <w:u w:val="single"/>
        </w:rPr>
      </w:pPr>
    </w:p>
    <w:p w14:paraId="662213EC" w14:textId="77777777" w:rsidR="005570DF" w:rsidRDefault="005570DF" w:rsidP="005570DF">
      <w:pPr>
        <w:spacing w:after="0"/>
        <w:rPr>
          <w:u w:val="single"/>
        </w:rPr>
      </w:pPr>
      <w:r>
        <w:rPr>
          <w:u w:val="single"/>
        </w:rPr>
        <w:t xml:space="preserve">Further information on each of these categories is available from </w:t>
      </w:r>
      <w:r w:rsidRPr="00D2617E">
        <w:rPr>
          <w:u w:val="single"/>
        </w:rPr>
        <w:t>outlined in </w:t>
      </w:r>
      <w:hyperlink r:id="rId6" w:history="1">
        <w:r w:rsidRPr="00D2617E">
          <w:rPr>
            <w:rStyle w:val="Hyperlink"/>
          </w:rPr>
          <w:t>The Common Incident Classification Scheme (CICS)</w:t>
        </w:r>
      </w:hyperlink>
      <w:r w:rsidRPr="00D2617E">
        <w:rPr>
          <w:u w:val="single"/>
        </w:rPr>
        <w:t>. </w:t>
      </w:r>
    </w:p>
    <w:p w14:paraId="2F818425" w14:textId="77777777" w:rsidR="005570DF" w:rsidRPr="00B82DDE" w:rsidRDefault="005570DF" w:rsidP="005570DF">
      <w:pPr>
        <w:spacing w:after="0"/>
        <w:rPr>
          <w:u w:val="single"/>
        </w:rPr>
      </w:pPr>
    </w:p>
    <w:tbl>
      <w:tblPr>
        <w:tblW w:w="14317" w:type="dxa"/>
        <w:tblLook w:val="04A0" w:firstRow="1" w:lastRow="0" w:firstColumn="1" w:lastColumn="0" w:noHBand="0" w:noVBand="1"/>
      </w:tblPr>
      <w:tblGrid>
        <w:gridCol w:w="3233"/>
        <w:gridCol w:w="3298"/>
        <w:gridCol w:w="1974"/>
        <w:gridCol w:w="1675"/>
        <w:gridCol w:w="4137"/>
      </w:tblGrid>
      <w:tr w:rsidR="00353B53" w:rsidRPr="0075782C" w14:paraId="09B6FA45" w14:textId="77777777" w:rsidTr="005570DF">
        <w:trPr>
          <w:trHeight w:val="290"/>
        </w:trPr>
        <w:tc>
          <w:tcPr>
            <w:tcW w:w="8505" w:type="dxa"/>
            <w:gridSpan w:val="3"/>
            <w:tcBorders>
              <w:top w:val="nil"/>
              <w:left w:val="nil"/>
              <w:bottom w:val="nil"/>
              <w:right w:val="nil"/>
            </w:tcBorders>
            <w:noWrap/>
            <w:vAlign w:val="bottom"/>
            <w:hideMark/>
          </w:tcPr>
          <w:p w14:paraId="75C9EB18" w14:textId="3C571A4A" w:rsidR="00353B53" w:rsidRPr="0075782C" w:rsidRDefault="005570DF" w:rsidP="00260D1D">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TABLE 2: </w:t>
            </w:r>
            <w:r w:rsidR="00353B53" w:rsidRPr="0075782C">
              <w:rPr>
                <w:rFonts w:ascii="Aptos Narrow" w:eastAsia="Times New Roman" w:hAnsi="Aptos Narrow" w:cs="Times New Roman"/>
                <w:b/>
                <w:bCs/>
                <w:color w:val="000000"/>
                <w:kern w:val="0"/>
                <w:lang w:eastAsia="en-GB"/>
                <w14:ligatures w14:val="none"/>
              </w:rPr>
              <w:t>CAUSE OF SERIOUS POLLUTION INCIDENTS FROM All WASTE ASSET TYPES IN 2025</w:t>
            </w:r>
          </w:p>
        </w:tc>
        <w:tc>
          <w:tcPr>
            <w:tcW w:w="1675" w:type="dxa"/>
            <w:tcBorders>
              <w:top w:val="nil"/>
              <w:left w:val="nil"/>
              <w:bottom w:val="nil"/>
              <w:right w:val="nil"/>
            </w:tcBorders>
            <w:noWrap/>
            <w:vAlign w:val="bottom"/>
            <w:hideMark/>
          </w:tcPr>
          <w:p w14:paraId="5E4CEAA8" w14:textId="77777777" w:rsidR="00353B53" w:rsidRPr="0075782C" w:rsidRDefault="00353B53" w:rsidP="00260D1D">
            <w:pPr>
              <w:spacing w:after="0" w:line="240" w:lineRule="auto"/>
              <w:rPr>
                <w:rFonts w:ascii="Aptos Narrow" w:eastAsia="Times New Roman" w:hAnsi="Aptos Narrow" w:cs="Times New Roman"/>
                <w:b/>
                <w:bCs/>
                <w:color w:val="000000"/>
                <w:kern w:val="0"/>
                <w:lang w:eastAsia="en-GB"/>
                <w14:ligatures w14:val="none"/>
              </w:rPr>
            </w:pPr>
          </w:p>
        </w:tc>
        <w:tc>
          <w:tcPr>
            <w:tcW w:w="4137" w:type="dxa"/>
            <w:tcBorders>
              <w:top w:val="nil"/>
              <w:left w:val="nil"/>
              <w:bottom w:val="nil"/>
              <w:right w:val="nil"/>
            </w:tcBorders>
            <w:noWrap/>
            <w:vAlign w:val="bottom"/>
            <w:hideMark/>
          </w:tcPr>
          <w:p w14:paraId="47D32172" w14:textId="77777777" w:rsidR="00353B53" w:rsidRPr="0075782C" w:rsidRDefault="00353B53" w:rsidP="00260D1D">
            <w:pPr>
              <w:spacing w:after="0" w:line="240" w:lineRule="auto"/>
              <w:rPr>
                <w:rFonts w:ascii="Times New Roman" w:eastAsia="Times New Roman" w:hAnsi="Times New Roman" w:cs="Times New Roman"/>
                <w:kern w:val="0"/>
                <w:sz w:val="20"/>
                <w:szCs w:val="20"/>
                <w:lang w:eastAsia="en-GB"/>
                <w14:ligatures w14:val="none"/>
              </w:rPr>
            </w:pPr>
          </w:p>
        </w:tc>
      </w:tr>
      <w:tr w:rsidR="00353B53" w:rsidRPr="0075782C" w14:paraId="3092477A" w14:textId="77777777" w:rsidTr="005570DF">
        <w:trPr>
          <w:trHeight w:val="290"/>
        </w:trPr>
        <w:tc>
          <w:tcPr>
            <w:tcW w:w="3233" w:type="dxa"/>
            <w:tcBorders>
              <w:top w:val="nil"/>
              <w:left w:val="nil"/>
              <w:bottom w:val="nil"/>
              <w:right w:val="nil"/>
            </w:tcBorders>
            <w:shd w:val="clear" w:color="000000" w:fill="4EA72E"/>
            <w:noWrap/>
            <w:vAlign w:val="bottom"/>
            <w:hideMark/>
          </w:tcPr>
          <w:p w14:paraId="4BABD31A" w14:textId="77777777" w:rsidR="00353B53" w:rsidRPr="0075782C" w:rsidRDefault="00353B53" w:rsidP="00260D1D">
            <w:pPr>
              <w:spacing w:after="0" w:line="240" w:lineRule="auto"/>
              <w:jc w:val="center"/>
              <w:rPr>
                <w:rFonts w:ascii="Aptos Narrow" w:eastAsia="Times New Roman" w:hAnsi="Aptos Narrow" w:cs="Times New Roman"/>
                <w:b/>
                <w:bCs/>
                <w:color w:val="000000"/>
                <w:kern w:val="0"/>
                <w:lang w:eastAsia="en-GB"/>
                <w14:ligatures w14:val="none"/>
              </w:rPr>
            </w:pPr>
            <w:r w:rsidRPr="0075782C">
              <w:rPr>
                <w:rFonts w:ascii="Aptos Narrow" w:eastAsia="Times New Roman" w:hAnsi="Aptos Narrow" w:cs="Times New Roman"/>
                <w:b/>
                <w:bCs/>
                <w:color w:val="000000"/>
                <w:kern w:val="0"/>
                <w:lang w:eastAsia="en-GB"/>
                <w14:ligatures w14:val="none"/>
              </w:rPr>
              <w:t>EVENT NUMBER</w:t>
            </w:r>
          </w:p>
        </w:tc>
        <w:tc>
          <w:tcPr>
            <w:tcW w:w="3298" w:type="dxa"/>
            <w:tcBorders>
              <w:top w:val="nil"/>
              <w:left w:val="nil"/>
              <w:bottom w:val="nil"/>
              <w:right w:val="nil"/>
            </w:tcBorders>
            <w:shd w:val="clear" w:color="000000" w:fill="4EA72E"/>
            <w:noWrap/>
            <w:vAlign w:val="bottom"/>
            <w:hideMark/>
          </w:tcPr>
          <w:p w14:paraId="19CE6277" w14:textId="77777777" w:rsidR="00353B53" w:rsidRPr="0075782C" w:rsidRDefault="00353B53" w:rsidP="00260D1D">
            <w:pPr>
              <w:spacing w:after="0" w:line="240" w:lineRule="auto"/>
              <w:rPr>
                <w:rFonts w:ascii="Aptos Narrow" w:eastAsia="Times New Roman" w:hAnsi="Aptos Narrow" w:cs="Times New Roman"/>
                <w:b/>
                <w:bCs/>
                <w:color w:val="000000"/>
                <w:kern w:val="0"/>
                <w:lang w:eastAsia="en-GB"/>
                <w14:ligatures w14:val="none"/>
              </w:rPr>
            </w:pPr>
            <w:r w:rsidRPr="0075782C">
              <w:rPr>
                <w:rFonts w:ascii="Aptos Narrow" w:eastAsia="Times New Roman" w:hAnsi="Aptos Narrow" w:cs="Times New Roman"/>
                <w:b/>
                <w:bCs/>
                <w:color w:val="000000"/>
                <w:kern w:val="0"/>
                <w:lang w:eastAsia="en-GB"/>
                <w14:ligatures w14:val="none"/>
              </w:rPr>
              <w:t>REPORTED DATE AND TIME</w:t>
            </w:r>
          </w:p>
        </w:tc>
        <w:tc>
          <w:tcPr>
            <w:tcW w:w="1974" w:type="dxa"/>
            <w:tcBorders>
              <w:top w:val="nil"/>
              <w:left w:val="nil"/>
              <w:bottom w:val="nil"/>
              <w:right w:val="nil"/>
            </w:tcBorders>
            <w:shd w:val="clear" w:color="000000" w:fill="4EA72E"/>
            <w:noWrap/>
            <w:vAlign w:val="bottom"/>
            <w:hideMark/>
          </w:tcPr>
          <w:p w14:paraId="1DA436CA" w14:textId="77777777" w:rsidR="00353B53" w:rsidRPr="0075782C" w:rsidRDefault="00353B53" w:rsidP="00260D1D">
            <w:pPr>
              <w:spacing w:after="0" w:line="240" w:lineRule="auto"/>
              <w:rPr>
                <w:rFonts w:ascii="Aptos Narrow" w:eastAsia="Times New Roman" w:hAnsi="Aptos Narrow" w:cs="Times New Roman"/>
                <w:b/>
                <w:bCs/>
                <w:color w:val="000000"/>
                <w:kern w:val="0"/>
                <w:lang w:eastAsia="en-GB"/>
                <w14:ligatures w14:val="none"/>
              </w:rPr>
            </w:pPr>
            <w:r w:rsidRPr="0075782C">
              <w:rPr>
                <w:rFonts w:ascii="Aptos Narrow" w:eastAsia="Times New Roman" w:hAnsi="Aptos Narrow" w:cs="Times New Roman"/>
                <w:b/>
                <w:bCs/>
                <w:color w:val="000000"/>
                <w:kern w:val="0"/>
                <w:lang w:eastAsia="en-GB"/>
                <w14:ligatures w14:val="none"/>
              </w:rPr>
              <w:t>LOCATION</w:t>
            </w:r>
          </w:p>
        </w:tc>
        <w:tc>
          <w:tcPr>
            <w:tcW w:w="1675" w:type="dxa"/>
            <w:tcBorders>
              <w:top w:val="nil"/>
              <w:left w:val="nil"/>
              <w:bottom w:val="nil"/>
              <w:right w:val="nil"/>
            </w:tcBorders>
            <w:shd w:val="clear" w:color="000000" w:fill="4EA72E"/>
            <w:noWrap/>
            <w:vAlign w:val="bottom"/>
            <w:hideMark/>
          </w:tcPr>
          <w:p w14:paraId="3FD6A8C4" w14:textId="77777777" w:rsidR="00353B53" w:rsidRPr="0075782C" w:rsidRDefault="00353B53" w:rsidP="00260D1D">
            <w:pPr>
              <w:spacing w:after="0" w:line="240" w:lineRule="auto"/>
              <w:rPr>
                <w:rFonts w:ascii="Aptos Narrow" w:eastAsia="Times New Roman" w:hAnsi="Aptos Narrow" w:cs="Times New Roman"/>
                <w:b/>
                <w:bCs/>
                <w:color w:val="000000"/>
                <w:kern w:val="0"/>
                <w:lang w:eastAsia="en-GB"/>
                <w14:ligatures w14:val="none"/>
              </w:rPr>
            </w:pPr>
            <w:r w:rsidRPr="0075782C">
              <w:rPr>
                <w:rFonts w:ascii="Aptos Narrow" w:eastAsia="Times New Roman" w:hAnsi="Aptos Narrow" w:cs="Times New Roman"/>
                <w:b/>
                <w:bCs/>
                <w:color w:val="000000"/>
                <w:kern w:val="0"/>
                <w:lang w:eastAsia="en-GB"/>
                <w14:ligatures w14:val="none"/>
              </w:rPr>
              <w:t>SERIOUSNESS</w:t>
            </w:r>
          </w:p>
        </w:tc>
        <w:tc>
          <w:tcPr>
            <w:tcW w:w="4137" w:type="dxa"/>
            <w:tcBorders>
              <w:top w:val="nil"/>
              <w:left w:val="nil"/>
              <w:bottom w:val="nil"/>
              <w:right w:val="nil"/>
            </w:tcBorders>
            <w:shd w:val="clear" w:color="000000" w:fill="4EA72E"/>
            <w:noWrap/>
            <w:vAlign w:val="bottom"/>
            <w:hideMark/>
          </w:tcPr>
          <w:p w14:paraId="291548B0" w14:textId="77777777" w:rsidR="00353B53" w:rsidRPr="0075782C" w:rsidRDefault="00353B53" w:rsidP="00260D1D">
            <w:pPr>
              <w:spacing w:after="0" w:line="240" w:lineRule="auto"/>
              <w:rPr>
                <w:rFonts w:ascii="Aptos Narrow" w:eastAsia="Times New Roman" w:hAnsi="Aptos Narrow" w:cs="Times New Roman"/>
                <w:b/>
                <w:bCs/>
                <w:color w:val="000000"/>
                <w:kern w:val="0"/>
                <w:lang w:eastAsia="en-GB"/>
                <w14:ligatures w14:val="none"/>
              </w:rPr>
            </w:pPr>
            <w:r w:rsidRPr="0075782C">
              <w:rPr>
                <w:rFonts w:ascii="Aptos Narrow" w:eastAsia="Times New Roman" w:hAnsi="Aptos Narrow" w:cs="Times New Roman"/>
                <w:b/>
                <w:bCs/>
                <w:color w:val="000000"/>
                <w:kern w:val="0"/>
                <w:lang w:eastAsia="en-GB"/>
                <w14:ligatures w14:val="none"/>
              </w:rPr>
              <w:t>ROOT CAUSE</w:t>
            </w:r>
          </w:p>
        </w:tc>
      </w:tr>
      <w:tr w:rsidR="00353B53" w:rsidRPr="0075782C" w14:paraId="7F186EDE" w14:textId="77777777" w:rsidTr="005570DF">
        <w:trPr>
          <w:trHeight w:val="290"/>
        </w:trPr>
        <w:tc>
          <w:tcPr>
            <w:tcW w:w="3233" w:type="dxa"/>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76CCEE5B" w14:textId="77777777" w:rsidR="00353B53" w:rsidRPr="0075782C" w:rsidRDefault="00353B53" w:rsidP="00260D1D">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NO INCIDENTS TO REPORT</w:t>
            </w:r>
          </w:p>
        </w:tc>
        <w:tc>
          <w:tcPr>
            <w:tcW w:w="3298" w:type="dxa"/>
            <w:tcBorders>
              <w:top w:val="single" w:sz="4" w:space="0" w:color="auto"/>
              <w:left w:val="nil"/>
              <w:bottom w:val="single" w:sz="4" w:space="0" w:color="auto"/>
              <w:right w:val="single" w:sz="4" w:space="0" w:color="auto"/>
            </w:tcBorders>
            <w:noWrap/>
            <w:vAlign w:val="center"/>
            <w:hideMark/>
          </w:tcPr>
          <w:p w14:paraId="2EE10D80" w14:textId="77777777" w:rsidR="00353B53" w:rsidRPr="0075782C" w:rsidRDefault="00353B53" w:rsidP="00260D1D">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N/A</w:t>
            </w:r>
          </w:p>
        </w:tc>
        <w:tc>
          <w:tcPr>
            <w:tcW w:w="1974" w:type="dxa"/>
            <w:tcBorders>
              <w:top w:val="single" w:sz="4" w:space="0" w:color="auto"/>
              <w:left w:val="nil"/>
              <w:bottom w:val="single" w:sz="4" w:space="0" w:color="auto"/>
              <w:right w:val="single" w:sz="4" w:space="0" w:color="auto"/>
            </w:tcBorders>
            <w:noWrap/>
            <w:vAlign w:val="center"/>
            <w:hideMark/>
          </w:tcPr>
          <w:p w14:paraId="0ACFA578" w14:textId="77777777" w:rsidR="00353B53" w:rsidRPr="0075782C" w:rsidRDefault="00353B53" w:rsidP="00260D1D">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N/A</w:t>
            </w:r>
          </w:p>
        </w:tc>
        <w:tc>
          <w:tcPr>
            <w:tcW w:w="1675" w:type="dxa"/>
            <w:tcBorders>
              <w:top w:val="single" w:sz="4" w:space="0" w:color="auto"/>
              <w:left w:val="nil"/>
              <w:bottom w:val="single" w:sz="4" w:space="0" w:color="auto"/>
              <w:right w:val="single" w:sz="4" w:space="0" w:color="auto"/>
            </w:tcBorders>
            <w:noWrap/>
            <w:vAlign w:val="center"/>
            <w:hideMark/>
          </w:tcPr>
          <w:p w14:paraId="5B0BA863" w14:textId="77777777" w:rsidR="00353B53" w:rsidRPr="0075782C" w:rsidRDefault="00353B53" w:rsidP="00260D1D">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N/A</w:t>
            </w:r>
          </w:p>
        </w:tc>
        <w:tc>
          <w:tcPr>
            <w:tcW w:w="4137" w:type="dxa"/>
            <w:tcBorders>
              <w:top w:val="single" w:sz="4" w:space="0" w:color="auto"/>
              <w:left w:val="nil"/>
              <w:bottom w:val="single" w:sz="4" w:space="0" w:color="auto"/>
              <w:right w:val="single" w:sz="4" w:space="0" w:color="auto"/>
            </w:tcBorders>
            <w:noWrap/>
            <w:vAlign w:val="center"/>
            <w:hideMark/>
          </w:tcPr>
          <w:p w14:paraId="6947B5DB" w14:textId="77777777" w:rsidR="00353B53" w:rsidRPr="0075782C" w:rsidRDefault="00353B53" w:rsidP="00260D1D">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N/A</w:t>
            </w:r>
          </w:p>
        </w:tc>
      </w:tr>
    </w:tbl>
    <w:p w14:paraId="28176377" w14:textId="77777777" w:rsidR="005570DF" w:rsidRDefault="005570DF" w:rsidP="005570DF">
      <w:pPr>
        <w:tabs>
          <w:tab w:val="left" w:pos="3440"/>
        </w:tabs>
      </w:pPr>
    </w:p>
    <w:p w14:paraId="101A512A" w14:textId="69E24253" w:rsidR="005570DF" w:rsidRDefault="005570DF" w:rsidP="005570DF">
      <w:pPr>
        <w:tabs>
          <w:tab w:val="left" w:pos="3440"/>
        </w:tabs>
      </w:pPr>
      <w:r>
        <w:t>As IWNL did not experience any pollution incidents during 2025 (as reported in Table 1 above) we do not have any data to report in terms of the cause of any incidents, as shown in Table 2 above.</w:t>
      </w:r>
    </w:p>
    <w:tbl>
      <w:tblPr>
        <w:tblW w:w="14915" w:type="dxa"/>
        <w:tblLook w:val="04A0" w:firstRow="1" w:lastRow="0" w:firstColumn="1" w:lastColumn="0" w:noHBand="0" w:noVBand="1"/>
      </w:tblPr>
      <w:tblGrid>
        <w:gridCol w:w="3481"/>
        <w:gridCol w:w="6158"/>
        <w:gridCol w:w="5276"/>
      </w:tblGrid>
      <w:tr w:rsidR="00FA4874" w:rsidRPr="00FA4874" w14:paraId="41BA152F" w14:textId="77777777" w:rsidTr="005570DF">
        <w:trPr>
          <w:trHeight w:val="230"/>
        </w:trPr>
        <w:tc>
          <w:tcPr>
            <w:tcW w:w="9639" w:type="dxa"/>
            <w:gridSpan w:val="2"/>
            <w:tcBorders>
              <w:top w:val="nil"/>
              <w:left w:val="nil"/>
              <w:bottom w:val="nil"/>
              <w:right w:val="nil"/>
            </w:tcBorders>
            <w:noWrap/>
            <w:vAlign w:val="bottom"/>
            <w:hideMark/>
          </w:tcPr>
          <w:p w14:paraId="661E2005" w14:textId="5EDECF5F" w:rsidR="00FA4874" w:rsidRPr="00FA4874" w:rsidRDefault="005570DF" w:rsidP="00FA4874">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lastRenderedPageBreak/>
              <w:t xml:space="preserve">TABLE 3: </w:t>
            </w:r>
            <w:r w:rsidR="00FA4874" w:rsidRPr="00FA4874">
              <w:rPr>
                <w:rFonts w:ascii="Aptos Narrow" w:eastAsia="Times New Roman" w:hAnsi="Aptos Narrow" w:cs="Times New Roman"/>
                <w:b/>
                <w:bCs/>
                <w:color w:val="000000"/>
                <w:kern w:val="0"/>
                <w:lang w:eastAsia="en-GB"/>
                <w14:ligatures w14:val="none"/>
              </w:rPr>
              <w:t>CAUSES OF CATEGORY 3 POLLUTION INCIDENTS FROM ALL WASTEWATER ASSET TYPES IN 2025</w:t>
            </w:r>
          </w:p>
        </w:tc>
        <w:tc>
          <w:tcPr>
            <w:tcW w:w="5276" w:type="dxa"/>
            <w:tcBorders>
              <w:top w:val="nil"/>
              <w:left w:val="nil"/>
              <w:bottom w:val="nil"/>
              <w:right w:val="nil"/>
            </w:tcBorders>
            <w:noWrap/>
            <w:vAlign w:val="bottom"/>
            <w:hideMark/>
          </w:tcPr>
          <w:p w14:paraId="2CBF4B57" w14:textId="77777777" w:rsidR="00FA4874" w:rsidRPr="00FA4874" w:rsidRDefault="00FA4874" w:rsidP="00FA4874">
            <w:pPr>
              <w:spacing w:after="0" w:line="240" w:lineRule="auto"/>
              <w:rPr>
                <w:rFonts w:ascii="Aptos Narrow" w:eastAsia="Times New Roman" w:hAnsi="Aptos Narrow" w:cs="Times New Roman"/>
                <w:b/>
                <w:bCs/>
                <w:color w:val="000000"/>
                <w:kern w:val="0"/>
                <w:lang w:eastAsia="en-GB"/>
                <w14:ligatures w14:val="none"/>
              </w:rPr>
            </w:pPr>
          </w:p>
        </w:tc>
      </w:tr>
      <w:tr w:rsidR="00D6015E" w:rsidRPr="00FA4874" w14:paraId="472A5C62" w14:textId="77777777" w:rsidTr="005570DF">
        <w:trPr>
          <w:trHeight w:val="230"/>
        </w:trPr>
        <w:tc>
          <w:tcPr>
            <w:tcW w:w="3481" w:type="dxa"/>
            <w:tcBorders>
              <w:top w:val="single" w:sz="4" w:space="0" w:color="auto"/>
              <w:left w:val="single" w:sz="4" w:space="0" w:color="auto"/>
              <w:bottom w:val="single" w:sz="4" w:space="0" w:color="auto"/>
              <w:right w:val="single" w:sz="4" w:space="0" w:color="auto"/>
            </w:tcBorders>
            <w:shd w:val="clear" w:color="000000" w:fill="4EA72E"/>
            <w:noWrap/>
            <w:vAlign w:val="bottom"/>
            <w:hideMark/>
          </w:tcPr>
          <w:p w14:paraId="34C14E41" w14:textId="77777777" w:rsidR="00FA4874" w:rsidRPr="00FA4874" w:rsidRDefault="00FA4874" w:rsidP="00FA4874">
            <w:pPr>
              <w:spacing w:after="0" w:line="240" w:lineRule="auto"/>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ROOT CAUSE</w:t>
            </w:r>
          </w:p>
        </w:tc>
        <w:tc>
          <w:tcPr>
            <w:tcW w:w="6158" w:type="dxa"/>
            <w:tcBorders>
              <w:top w:val="single" w:sz="4" w:space="0" w:color="auto"/>
              <w:left w:val="nil"/>
              <w:bottom w:val="single" w:sz="4" w:space="0" w:color="auto"/>
              <w:right w:val="single" w:sz="4" w:space="0" w:color="auto"/>
            </w:tcBorders>
            <w:shd w:val="clear" w:color="000000" w:fill="4EA72E"/>
            <w:noWrap/>
            <w:vAlign w:val="bottom"/>
            <w:hideMark/>
          </w:tcPr>
          <w:p w14:paraId="76E3E9C7" w14:textId="77777777" w:rsidR="00FA4874" w:rsidRPr="00FA4874" w:rsidRDefault="00FA4874" w:rsidP="00FA4874">
            <w:pPr>
              <w:spacing w:after="0" w:line="240" w:lineRule="auto"/>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NUMBER OF CATEGORY 3 POLLUTION INCIDENTS</w:t>
            </w:r>
          </w:p>
        </w:tc>
        <w:tc>
          <w:tcPr>
            <w:tcW w:w="5276" w:type="dxa"/>
            <w:tcBorders>
              <w:top w:val="single" w:sz="4" w:space="0" w:color="auto"/>
              <w:left w:val="nil"/>
              <w:bottom w:val="single" w:sz="4" w:space="0" w:color="auto"/>
              <w:right w:val="single" w:sz="4" w:space="0" w:color="auto"/>
            </w:tcBorders>
            <w:shd w:val="clear" w:color="000000" w:fill="4EA72E"/>
            <w:noWrap/>
            <w:vAlign w:val="bottom"/>
            <w:hideMark/>
          </w:tcPr>
          <w:p w14:paraId="208C7327" w14:textId="77777777" w:rsidR="00FA4874" w:rsidRPr="00FA4874" w:rsidRDefault="00FA4874" w:rsidP="00FA4874">
            <w:pPr>
              <w:spacing w:after="0" w:line="240" w:lineRule="auto"/>
              <w:rPr>
                <w:rFonts w:ascii="Aptos Narrow" w:eastAsia="Times New Roman" w:hAnsi="Aptos Narrow" w:cs="Times New Roman"/>
                <w:b/>
                <w:bCs/>
                <w:color w:val="000000"/>
                <w:kern w:val="0"/>
                <w:lang w:eastAsia="en-GB"/>
                <w14:ligatures w14:val="none"/>
              </w:rPr>
            </w:pPr>
            <w:r w:rsidRPr="00FA4874">
              <w:rPr>
                <w:rFonts w:ascii="Aptos Narrow" w:eastAsia="Times New Roman" w:hAnsi="Aptos Narrow" w:cs="Times New Roman"/>
                <w:b/>
                <w:bCs/>
                <w:color w:val="000000"/>
                <w:kern w:val="0"/>
                <w:lang w:eastAsia="en-GB"/>
                <w14:ligatures w14:val="none"/>
              </w:rPr>
              <w:t>PROPORTION OF CATEGORY 3 POLLUTION INCIDENTS (%)</w:t>
            </w:r>
          </w:p>
        </w:tc>
      </w:tr>
      <w:tr w:rsidR="00D6015E" w:rsidRPr="00FA4874" w14:paraId="3DEF8860" w14:textId="77777777" w:rsidTr="005570DF">
        <w:trPr>
          <w:trHeight w:val="230"/>
        </w:trPr>
        <w:tc>
          <w:tcPr>
            <w:tcW w:w="3481" w:type="dxa"/>
            <w:tcBorders>
              <w:top w:val="nil"/>
              <w:left w:val="single" w:sz="4" w:space="0" w:color="auto"/>
              <w:bottom w:val="single" w:sz="4" w:space="0" w:color="auto"/>
              <w:right w:val="single" w:sz="4" w:space="0" w:color="auto"/>
            </w:tcBorders>
            <w:shd w:val="clear" w:color="000000" w:fill="DAF2D0"/>
            <w:noWrap/>
            <w:vAlign w:val="center"/>
            <w:hideMark/>
          </w:tcPr>
          <w:p w14:paraId="3F2704CD" w14:textId="77777777" w:rsidR="00FA4874" w:rsidRPr="00FA4874" w:rsidRDefault="00FA4874" w:rsidP="00445639">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NO INCIDENTS TO REPORT</w:t>
            </w:r>
          </w:p>
        </w:tc>
        <w:tc>
          <w:tcPr>
            <w:tcW w:w="6158" w:type="dxa"/>
            <w:tcBorders>
              <w:top w:val="nil"/>
              <w:left w:val="nil"/>
              <w:bottom w:val="single" w:sz="4" w:space="0" w:color="auto"/>
              <w:right w:val="single" w:sz="4" w:space="0" w:color="auto"/>
            </w:tcBorders>
            <w:noWrap/>
            <w:vAlign w:val="center"/>
            <w:hideMark/>
          </w:tcPr>
          <w:p w14:paraId="56F00736" w14:textId="77777777" w:rsidR="00FA4874" w:rsidRPr="00FA4874" w:rsidRDefault="00FA4874" w:rsidP="00445639">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N/A</w:t>
            </w:r>
          </w:p>
        </w:tc>
        <w:tc>
          <w:tcPr>
            <w:tcW w:w="5276" w:type="dxa"/>
            <w:tcBorders>
              <w:top w:val="nil"/>
              <w:left w:val="nil"/>
              <w:bottom w:val="single" w:sz="4" w:space="0" w:color="auto"/>
              <w:right w:val="single" w:sz="4" w:space="0" w:color="auto"/>
            </w:tcBorders>
            <w:noWrap/>
            <w:vAlign w:val="center"/>
            <w:hideMark/>
          </w:tcPr>
          <w:p w14:paraId="51517B2F" w14:textId="77777777" w:rsidR="00FA4874" w:rsidRPr="00FA4874" w:rsidRDefault="00FA4874" w:rsidP="00445639">
            <w:pPr>
              <w:spacing w:after="0" w:line="240" w:lineRule="auto"/>
              <w:jc w:val="center"/>
              <w:rPr>
                <w:rFonts w:ascii="Aptos Narrow" w:eastAsia="Times New Roman" w:hAnsi="Aptos Narrow" w:cs="Times New Roman"/>
                <w:color w:val="000000"/>
                <w:kern w:val="0"/>
                <w:lang w:eastAsia="en-GB"/>
                <w14:ligatures w14:val="none"/>
              </w:rPr>
            </w:pPr>
            <w:r w:rsidRPr="00FA4874">
              <w:rPr>
                <w:rFonts w:ascii="Aptos Narrow" w:eastAsia="Times New Roman" w:hAnsi="Aptos Narrow" w:cs="Times New Roman"/>
                <w:color w:val="000000"/>
                <w:kern w:val="0"/>
                <w:lang w:eastAsia="en-GB"/>
                <w14:ligatures w14:val="none"/>
              </w:rPr>
              <w:t>N/A</w:t>
            </w:r>
          </w:p>
        </w:tc>
      </w:tr>
    </w:tbl>
    <w:p w14:paraId="2CCB90BF" w14:textId="77777777" w:rsidR="005570DF" w:rsidRDefault="005570DF" w:rsidP="005570DF">
      <w:pPr>
        <w:tabs>
          <w:tab w:val="left" w:pos="3440"/>
        </w:tabs>
      </w:pPr>
    </w:p>
    <w:p w14:paraId="3FFA191C" w14:textId="28DFCD16" w:rsidR="005570DF" w:rsidRDefault="005570DF" w:rsidP="005570DF">
      <w:pPr>
        <w:tabs>
          <w:tab w:val="left" w:pos="3440"/>
        </w:tabs>
      </w:pPr>
      <w:r>
        <w:t>As IWNL did not experience any pollution incidents during 2025 (as reported in Table 1 above) we do not have any data to report in terms of the cause of any incidents, as shown in Table 3 above.</w:t>
      </w:r>
    </w:p>
    <w:tbl>
      <w:tblPr>
        <w:tblW w:w="14596" w:type="dxa"/>
        <w:tblLook w:val="04A0" w:firstRow="1" w:lastRow="0" w:firstColumn="1" w:lastColumn="0" w:noHBand="0" w:noVBand="1"/>
      </w:tblPr>
      <w:tblGrid>
        <w:gridCol w:w="1616"/>
        <w:gridCol w:w="2340"/>
        <w:gridCol w:w="1238"/>
        <w:gridCol w:w="1889"/>
        <w:gridCol w:w="2551"/>
        <w:gridCol w:w="2977"/>
        <w:gridCol w:w="1985"/>
      </w:tblGrid>
      <w:tr w:rsidR="00845CF2" w:rsidRPr="00287C1A" w14:paraId="7B1B506E" w14:textId="77777777" w:rsidTr="006E3D3A">
        <w:trPr>
          <w:trHeight w:val="274"/>
        </w:trPr>
        <w:tc>
          <w:tcPr>
            <w:tcW w:w="14596" w:type="dxa"/>
            <w:gridSpan w:val="7"/>
            <w:tcBorders>
              <w:top w:val="single" w:sz="4" w:space="0" w:color="auto"/>
              <w:left w:val="single" w:sz="4" w:space="0" w:color="auto"/>
              <w:bottom w:val="single" w:sz="4" w:space="0" w:color="auto"/>
              <w:right w:val="single" w:sz="4" w:space="0" w:color="auto"/>
            </w:tcBorders>
            <w:vAlign w:val="center"/>
          </w:tcPr>
          <w:p w14:paraId="0B19E2B7" w14:textId="5C4AF7BF" w:rsidR="00845CF2" w:rsidRPr="00845CF2" w:rsidRDefault="005570DF" w:rsidP="00845CF2">
            <w:pPr>
              <w:tabs>
                <w:tab w:val="left" w:pos="3440"/>
              </w:tabs>
              <w:rPr>
                <w:b/>
                <w:bCs/>
              </w:rPr>
            </w:pPr>
            <w:r>
              <w:rPr>
                <w:b/>
                <w:bCs/>
              </w:rPr>
              <w:t>TABL</w:t>
            </w:r>
            <w:r w:rsidR="00CB313F">
              <w:rPr>
                <w:b/>
                <w:bCs/>
              </w:rPr>
              <w:t>E</w:t>
            </w:r>
            <w:r>
              <w:rPr>
                <w:b/>
                <w:bCs/>
              </w:rPr>
              <w:t xml:space="preserve"> 4: </w:t>
            </w:r>
            <w:r w:rsidR="00845CF2" w:rsidRPr="00287C1A">
              <w:rPr>
                <w:b/>
                <w:bCs/>
              </w:rPr>
              <w:t>MEASURES TAKEN TO MAINTAIN ALL WASTEWATER ASSET TYPES IN 2025</w:t>
            </w:r>
          </w:p>
        </w:tc>
      </w:tr>
      <w:tr w:rsidR="00D6015E" w:rsidRPr="00287C1A" w14:paraId="489C183D" w14:textId="77777777" w:rsidTr="00D6015E">
        <w:trPr>
          <w:trHeight w:val="1103"/>
        </w:trPr>
        <w:tc>
          <w:tcPr>
            <w:tcW w:w="1616" w:type="dxa"/>
            <w:tcBorders>
              <w:top w:val="single" w:sz="4" w:space="0" w:color="auto"/>
              <w:left w:val="single" w:sz="4" w:space="0" w:color="auto"/>
              <w:bottom w:val="single" w:sz="4" w:space="0" w:color="auto"/>
              <w:right w:val="single" w:sz="4" w:space="0" w:color="auto"/>
            </w:tcBorders>
            <w:shd w:val="clear" w:color="000000" w:fill="4EA72E"/>
            <w:vAlign w:val="center"/>
            <w:hideMark/>
          </w:tcPr>
          <w:p w14:paraId="709A3525" w14:textId="166AB732" w:rsidR="00287C1A" w:rsidRPr="00845CF2" w:rsidRDefault="00845CF2" w:rsidP="00287C1A">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MEASURE</w:t>
            </w:r>
          </w:p>
        </w:tc>
        <w:tc>
          <w:tcPr>
            <w:tcW w:w="2340" w:type="dxa"/>
            <w:tcBorders>
              <w:top w:val="single" w:sz="4" w:space="0" w:color="auto"/>
              <w:left w:val="nil"/>
              <w:bottom w:val="single" w:sz="4" w:space="0" w:color="auto"/>
              <w:right w:val="single" w:sz="4" w:space="0" w:color="auto"/>
            </w:tcBorders>
            <w:shd w:val="clear" w:color="000000" w:fill="4EA72E"/>
            <w:vAlign w:val="center"/>
            <w:hideMark/>
          </w:tcPr>
          <w:p w14:paraId="1109A404" w14:textId="5D46DA02" w:rsidR="00D6015E" w:rsidRPr="00845CF2" w:rsidRDefault="00845CF2" w:rsidP="00D6015E">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DESCRIPTION</w:t>
            </w:r>
          </w:p>
          <w:p w14:paraId="66F5BEEE" w14:textId="13F84629" w:rsidR="00287C1A" w:rsidRPr="00845CF2" w:rsidRDefault="00845CF2" w:rsidP="00D6015E">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OF ACTION(S)</w:t>
            </w:r>
          </w:p>
        </w:tc>
        <w:tc>
          <w:tcPr>
            <w:tcW w:w="1238" w:type="dxa"/>
            <w:tcBorders>
              <w:top w:val="single" w:sz="4" w:space="0" w:color="auto"/>
              <w:left w:val="nil"/>
              <w:bottom w:val="single" w:sz="4" w:space="0" w:color="auto"/>
              <w:right w:val="single" w:sz="4" w:space="0" w:color="auto"/>
            </w:tcBorders>
            <w:shd w:val="clear" w:color="000000" w:fill="4EA72E"/>
            <w:vAlign w:val="center"/>
            <w:hideMark/>
          </w:tcPr>
          <w:p w14:paraId="7CAA9F47" w14:textId="7374F298" w:rsidR="00287C1A" w:rsidRPr="00845CF2" w:rsidRDefault="00845CF2" w:rsidP="00287C1A">
            <w:pPr>
              <w:spacing w:after="0" w:line="240" w:lineRule="auto"/>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SCALE OF ACTION(S)</w:t>
            </w:r>
          </w:p>
        </w:tc>
        <w:tc>
          <w:tcPr>
            <w:tcW w:w="1889" w:type="dxa"/>
            <w:tcBorders>
              <w:top w:val="single" w:sz="4" w:space="0" w:color="auto"/>
              <w:left w:val="nil"/>
              <w:bottom w:val="single" w:sz="4" w:space="0" w:color="auto"/>
              <w:right w:val="single" w:sz="4" w:space="0" w:color="auto"/>
            </w:tcBorders>
            <w:shd w:val="clear" w:color="000000" w:fill="4EA72E"/>
            <w:vAlign w:val="center"/>
            <w:hideMark/>
          </w:tcPr>
          <w:p w14:paraId="38AD596F" w14:textId="504DC2FC" w:rsidR="00287C1A" w:rsidRPr="00845CF2" w:rsidRDefault="00845CF2" w:rsidP="00287C1A">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IMPACT OF THE MEASURE (CATEGORY 1 - 3 INCIDENTS PREVENTED)</w:t>
            </w:r>
          </w:p>
        </w:tc>
        <w:tc>
          <w:tcPr>
            <w:tcW w:w="2551" w:type="dxa"/>
            <w:tcBorders>
              <w:top w:val="single" w:sz="4" w:space="0" w:color="auto"/>
              <w:left w:val="nil"/>
              <w:bottom w:val="single" w:sz="4" w:space="0" w:color="auto"/>
              <w:right w:val="single" w:sz="4" w:space="0" w:color="auto"/>
            </w:tcBorders>
            <w:shd w:val="clear" w:color="000000" w:fill="4EA72E"/>
            <w:vAlign w:val="center"/>
            <w:hideMark/>
          </w:tcPr>
          <w:p w14:paraId="6D4CCDDD" w14:textId="35F101A9" w:rsidR="00287C1A" w:rsidRPr="00845CF2" w:rsidRDefault="00845CF2" w:rsidP="00287C1A">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ROOT CAUSE(S) ADDRESSED BY THE MEASURE</w:t>
            </w:r>
          </w:p>
        </w:tc>
        <w:tc>
          <w:tcPr>
            <w:tcW w:w="2977" w:type="dxa"/>
            <w:tcBorders>
              <w:top w:val="single" w:sz="4" w:space="0" w:color="auto"/>
              <w:left w:val="nil"/>
              <w:bottom w:val="single" w:sz="4" w:space="0" w:color="auto"/>
              <w:right w:val="single" w:sz="4" w:space="0" w:color="auto"/>
            </w:tcBorders>
            <w:shd w:val="clear" w:color="000000" w:fill="4EA72E"/>
            <w:vAlign w:val="center"/>
            <w:hideMark/>
          </w:tcPr>
          <w:p w14:paraId="36828F9F" w14:textId="2745EC3E" w:rsidR="00287C1A" w:rsidRPr="00845CF2" w:rsidRDefault="00845CF2" w:rsidP="00287C1A">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RECENT POLLUTION INCIDENT PERFORMANCE ISSUES IDENTIFIED IN THE DWMP</w:t>
            </w:r>
          </w:p>
        </w:tc>
        <w:tc>
          <w:tcPr>
            <w:tcW w:w="1985" w:type="dxa"/>
            <w:tcBorders>
              <w:top w:val="single" w:sz="4" w:space="0" w:color="auto"/>
              <w:left w:val="nil"/>
              <w:bottom w:val="single" w:sz="4" w:space="0" w:color="auto"/>
              <w:right w:val="single" w:sz="4" w:space="0" w:color="auto"/>
            </w:tcBorders>
            <w:shd w:val="clear" w:color="000000" w:fill="4EA72E"/>
            <w:vAlign w:val="center"/>
            <w:hideMark/>
          </w:tcPr>
          <w:p w14:paraId="49CC95D0" w14:textId="402DD4AC" w:rsidR="00287C1A" w:rsidRPr="00845CF2" w:rsidRDefault="00845CF2" w:rsidP="00287C1A">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DELIVERY STATUS OF THE MEASURE</w:t>
            </w:r>
          </w:p>
        </w:tc>
      </w:tr>
      <w:tr w:rsidR="00D6015E" w:rsidRPr="00287C1A" w14:paraId="1D25954E" w14:textId="77777777" w:rsidTr="00A00814">
        <w:trPr>
          <w:trHeight w:val="2069"/>
        </w:trPr>
        <w:tc>
          <w:tcPr>
            <w:tcW w:w="1616" w:type="dxa"/>
            <w:tcBorders>
              <w:top w:val="nil"/>
              <w:left w:val="single" w:sz="4" w:space="0" w:color="auto"/>
              <w:bottom w:val="single" w:sz="4" w:space="0" w:color="auto"/>
              <w:right w:val="single" w:sz="4" w:space="0" w:color="auto"/>
            </w:tcBorders>
            <w:shd w:val="clear" w:color="000000" w:fill="DAF2D0"/>
            <w:vAlign w:val="center"/>
            <w:hideMark/>
          </w:tcPr>
          <w:p w14:paraId="275AC789" w14:textId="1FA23649" w:rsidR="00287C1A" w:rsidRPr="00287C1A" w:rsidRDefault="00287C1A" w:rsidP="00445639">
            <w:pPr>
              <w:spacing w:after="0" w:line="240" w:lineRule="auto"/>
              <w:jc w:val="center"/>
              <w:rPr>
                <w:rFonts w:ascii="Aptos Narrow" w:eastAsia="Times New Roman" w:hAnsi="Aptos Narrow" w:cs="Times New Roman"/>
                <w:color w:val="000000"/>
                <w:kern w:val="0"/>
                <w:lang w:eastAsia="en-GB"/>
                <w14:ligatures w14:val="none"/>
              </w:rPr>
            </w:pPr>
            <w:r w:rsidRPr="00287C1A">
              <w:rPr>
                <w:rFonts w:ascii="Aptos Narrow" w:eastAsia="Times New Roman" w:hAnsi="Aptos Narrow" w:cs="Times New Roman"/>
                <w:color w:val="000000"/>
                <w:kern w:val="0"/>
                <w:lang w:eastAsia="en-GB"/>
                <w14:ligatures w14:val="none"/>
              </w:rPr>
              <w:t>Implementation of proactive cleaning and maintenance</w:t>
            </w:r>
          </w:p>
        </w:tc>
        <w:tc>
          <w:tcPr>
            <w:tcW w:w="2340" w:type="dxa"/>
            <w:tcBorders>
              <w:top w:val="nil"/>
              <w:left w:val="nil"/>
              <w:bottom w:val="single" w:sz="4" w:space="0" w:color="auto"/>
              <w:right w:val="single" w:sz="4" w:space="0" w:color="auto"/>
            </w:tcBorders>
            <w:vAlign w:val="center"/>
            <w:hideMark/>
          </w:tcPr>
          <w:p w14:paraId="60A59168" w14:textId="4782D807" w:rsidR="00287C1A" w:rsidRPr="00287C1A" w:rsidRDefault="00287C1A" w:rsidP="006E3D3A">
            <w:pPr>
              <w:spacing w:after="0" w:line="240" w:lineRule="auto"/>
              <w:jc w:val="center"/>
              <w:rPr>
                <w:rFonts w:ascii="Aptos Narrow" w:eastAsia="Times New Roman" w:hAnsi="Aptos Narrow" w:cs="Times New Roman"/>
                <w:color w:val="000000"/>
                <w:kern w:val="0"/>
                <w:lang w:eastAsia="en-GB"/>
                <w14:ligatures w14:val="none"/>
              </w:rPr>
            </w:pPr>
            <w:r w:rsidRPr="00287C1A">
              <w:rPr>
                <w:rFonts w:ascii="Aptos Narrow" w:eastAsia="Times New Roman" w:hAnsi="Aptos Narrow" w:cs="Times New Roman"/>
                <w:color w:val="000000"/>
                <w:kern w:val="0"/>
                <w:lang w:eastAsia="en-GB"/>
                <w14:ligatures w14:val="none"/>
              </w:rPr>
              <w:t xml:space="preserve">Implement routine jetting and cleaning of foul water sewers to remove silt, debris, and early </w:t>
            </w:r>
            <w:r w:rsidR="00D6015E" w:rsidRPr="00287C1A">
              <w:rPr>
                <w:rFonts w:ascii="Aptos Narrow" w:eastAsia="Times New Roman" w:hAnsi="Aptos Narrow" w:cs="Times New Roman"/>
                <w:color w:val="000000"/>
                <w:kern w:val="0"/>
                <w:lang w:eastAsia="en-GB"/>
                <w14:ligatures w14:val="none"/>
              </w:rPr>
              <w:t>blockages</w:t>
            </w:r>
            <w:r w:rsidRPr="00287C1A">
              <w:rPr>
                <w:rFonts w:ascii="Aptos Narrow" w:eastAsia="Times New Roman" w:hAnsi="Aptos Narrow" w:cs="Times New Roman"/>
                <w:color w:val="000000"/>
                <w:kern w:val="0"/>
                <w:lang w:eastAsia="en-GB"/>
                <w14:ligatures w14:val="none"/>
              </w:rPr>
              <w:t xml:space="preserve"> before they escalate</w:t>
            </w:r>
            <w:r w:rsidR="00845CF2">
              <w:rPr>
                <w:rFonts w:ascii="Aptos Narrow" w:eastAsia="Times New Roman" w:hAnsi="Aptos Narrow" w:cs="Times New Roman"/>
                <w:color w:val="000000"/>
                <w:kern w:val="0"/>
                <w:lang w:eastAsia="en-GB"/>
                <w14:ligatures w14:val="none"/>
              </w:rPr>
              <w:t>.</w:t>
            </w:r>
          </w:p>
        </w:tc>
        <w:tc>
          <w:tcPr>
            <w:tcW w:w="1238" w:type="dxa"/>
            <w:tcBorders>
              <w:top w:val="nil"/>
              <w:left w:val="nil"/>
              <w:bottom w:val="single" w:sz="4" w:space="0" w:color="auto"/>
              <w:right w:val="single" w:sz="4" w:space="0" w:color="auto"/>
            </w:tcBorders>
            <w:vAlign w:val="center"/>
          </w:tcPr>
          <w:p w14:paraId="4AC83D4A" w14:textId="2FF49C6E" w:rsidR="00287C1A" w:rsidRPr="00287C1A"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889" w:type="dxa"/>
            <w:tcBorders>
              <w:top w:val="nil"/>
              <w:left w:val="nil"/>
              <w:bottom w:val="single" w:sz="4" w:space="0" w:color="auto"/>
              <w:right w:val="single" w:sz="4" w:space="0" w:color="auto"/>
            </w:tcBorders>
            <w:vAlign w:val="center"/>
          </w:tcPr>
          <w:p w14:paraId="7EE4190B" w14:textId="34573AF9" w:rsidR="00287C1A" w:rsidRPr="00287C1A"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2551" w:type="dxa"/>
            <w:tcBorders>
              <w:top w:val="nil"/>
              <w:left w:val="nil"/>
              <w:bottom w:val="single" w:sz="4" w:space="0" w:color="auto"/>
              <w:right w:val="single" w:sz="4" w:space="0" w:color="auto"/>
            </w:tcBorders>
            <w:vAlign w:val="center"/>
          </w:tcPr>
          <w:p w14:paraId="0FA1C10C" w14:textId="09C5052E" w:rsidR="00287C1A" w:rsidRPr="00287C1A"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2977" w:type="dxa"/>
            <w:tcBorders>
              <w:top w:val="nil"/>
              <w:left w:val="nil"/>
              <w:bottom w:val="single" w:sz="4" w:space="0" w:color="auto"/>
              <w:right w:val="single" w:sz="4" w:space="0" w:color="auto"/>
            </w:tcBorders>
            <w:vAlign w:val="center"/>
          </w:tcPr>
          <w:p w14:paraId="4B779B30" w14:textId="74B4C5A2" w:rsidR="00287C1A" w:rsidRPr="00287C1A"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985" w:type="dxa"/>
            <w:tcBorders>
              <w:top w:val="nil"/>
              <w:left w:val="nil"/>
              <w:bottom w:val="single" w:sz="4" w:space="0" w:color="auto"/>
              <w:right w:val="single" w:sz="4" w:space="0" w:color="auto"/>
            </w:tcBorders>
            <w:vAlign w:val="center"/>
          </w:tcPr>
          <w:p w14:paraId="46895242" w14:textId="017B0B12" w:rsidR="00287C1A" w:rsidRPr="00287C1A"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r>
      <w:tr w:rsidR="00D6015E" w:rsidRPr="00287C1A" w14:paraId="15381A7A" w14:textId="77777777" w:rsidTr="00A00814">
        <w:trPr>
          <w:trHeight w:val="738"/>
        </w:trPr>
        <w:tc>
          <w:tcPr>
            <w:tcW w:w="1616" w:type="dxa"/>
            <w:tcBorders>
              <w:top w:val="nil"/>
              <w:left w:val="single" w:sz="4" w:space="0" w:color="auto"/>
              <w:bottom w:val="single" w:sz="4" w:space="0" w:color="auto"/>
              <w:right w:val="single" w:sz="4" w:space="0" w:color="auto"/>
            </w:tcBorders>
            <w:shd w:val="clear" w:color="000000" w:fill="DAF2D0"/>
            <w:noWrap/>
            <w:vAlign w:val="center"/>
            <w:hideMark/>
          </w:tcPr>
          <w:p w14:paraId="45DD9752" w14:textId="315411A1" w:rsidR="00287C1A" w:rsidRPr="00287C1A" w:rsidRDefault="00845CF2" w:rsidP="00445639">
            <w:pPr>
              <w:spacing w:after="0" w:line="240" w:lineRule="auto"/>
              <w:jc w:val="center"/>
              <w:rPr>
                <w:rFonts w:ascii="Aptos Narrow" w:eastAsia="Times New Roman" w:hAnsi="Aptos Narrow" w:cs="Times New Roman"/>
                <w:color w:val="000000"/>
                <w:kern w:val="0"/>
                <w:lang w:eastAsia="en-GB"/>
                <w14:ligatures w14:val="none"/>
              </w:rPr>
            </w:pPr>
            <w:r w:rsidRPr="00287C1A">
              <w:rPr>
                <w:rFonts w:ascii="Aptos Narrow" w:eastAsia="Times New Roman" w:hAnsi="Aptos Narrow" w:cs="Times New Roman"/>
                <w:color w:val="000000"/>
                <w:kern w:val="0"/>
                <w:lang w:eastAsia="en-GB"/>
                <w14:ligatures w14:val="none"/>
              </w:rPr>
              <w:t>IWNL</w:t>
            </w:r>
            <w:r w:rsidR="00287C1A" w:rsidRPr="00287C1A">
              <w:rPr>
                <w:rFonts w:ascii="Aptos Narrow" w:eastAsia="Times New Roman" w:hAnsi="Aptos Narrow" w:cs="Times New Roman"/>
                <w:color w:val="000000"/>
                <w:kern w:val="0"/>
                <w:lang w:eastAsia="en-GB"/>
                <w14:ligatures w14:val="none"/>
              </w:rPr>
              <w:t xml:space="preserve"> have maintenance plans in place for its wastewater assets</w:t>
            </w:r>
          </w:p>
        </w:tc>
        <w:tc>
          <w:tcPr>
            <w:tcW w:w="2340" w:type="dxa"/>
            <w:tcBorders>
              <w:top w:val="nil"/>
              <w:left w:val="nil"/>
              <w:bottom w:val="single" w:sz="4" w:space="0" w:color="auto"/>
              <w:right w:val="single" w:sz="4" w:space="0" w:color="auto"/>
            </w:tcBorders>
            <w:noWrap/>
            <w:vAlign w:val="center"/>
            <w:hideMark/>
          </w:tcPr>
          <w:p w14:paraId="6102F14A" w14:textId="6C392197" w:rsidR="00287C1A" w:rsidRPr="00287C1A" w:rsidRDefault="00287C1A" w:rsidP="006E3D3A">
            <w:pPr>
              <w:spacing w:after="0" w:line="240" w:lineRule="auto"/>
              <w:jc w:val="center"/>
              <w:rPr>
                <w:rFonts w:ascii="Aptos Narrow" w:eastAsia="Times New Roman" w:hAnsi="Aptos Narrow" w:cs="Times New Roman"/>
                <w:color w:val="000000"/>
                <w:kern w:val="0"/>
                <w:lang w:eastAsia="en-GB"/>
                <w14:ligatures w14:val="none"/>
              </w:rPr>
            </w:pPr>
            <w:r w:rsidRPr="00287C1A">
              <w:rPr>
                <w:rFonts w:ascii="Aptos Narrow" w:eastAsia="Times New Roman" w:hAnsi="Aptos Narrow" w:cs="Times New Roman"/>
                <w:color w:val="000000"/>
                <w:kern w:val="0"/>
                <w:lang w:eastAsia="en-GB"/>
                <w14:ligatures w14:val="none"/>
              </w:rPr>
              <w:t xml:space="preserve">All of our assets are relatively new. Regular wastewater pump </w:t>
            </w:r>
            <w:r w:rsidR="00845CF2" w:rsidRPr="00287C1A">
              <w:rPr>
                <w:rFonts w:ascii="Aptos Narrow" w:eastAsia="Times New Roman" w:hAnsi="Aptos Narrow" w:cs="Times New Roman"/>
                <w:color w:val="000000"/>
                <w:kern w:val="0"/>
                <w:lang w:eastAsia="en-GB"/>
                <w14:ligatures w14:val="none"/>
              </w:rPr>
              <w:t>station</w:t>
            </w:r>
            <w:r w:rsidRPr="00287C1A">
              <w:rPr>
                <w:rFonts w:ascii="Aptos Narrow" w:eastAsia="Times New Roman" w:hAnsi="Aptos Narrow" w:cs="Times New Roman"/>
                <w:color w:val="000000"/>
                <w:kern w:val="0"/>
                <w:lang w:eastAsia="en-GB"/>
                <w14:ligatures w14:val="none"/>
              </w:rPr>
              <w:t xml:space="preserve"> cleaning and maintenance carried out to ensure correct asset performance and resilience.</w:t>
            </w:r>
          </w:p>
        </w:tc>
        <w:tc>
          <w:tcPr>
            <w:tcW w:w="1238" w:type="dxa"/>
            <w:tcBorders>
              <w:top w:val="nil"/>
              <w:left w:val="nil"/>
              <w:bottom w:val="single" w:sz="4" w:space="0" w:color="auto"/>
              <w:right w:val="single" w:sz="4" w:space="0" w:color="auto"/>
            </w:tcBorders>
            <w:noWrap/>
            <w:vAlign w:val="center"/>
            <w:hideMark/>
          </w:tcPr>
          <w:p w14:paraId="48EF8F2E" w14:textId="1791D680" w:rsidR="00287C1A" w:rsidRPr="00287C1A" w:rsidRDefault="00A00814" w:rsidP="00A00814">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889" w:type="dxa"/>
            <w:tcBorders>
              <w:top w:val="nil"/>
              <w:left w:val="nil"/>
              <w:bottom w:val="single" w:sz="4" w:space="0" w:color="auto"/>
              <w:right w:val="single" w:sz="4" w:space="0" w:color="auto"/>
            </w:tcBorders>
            <w:noWrap/>
            <w:vAlign w:val="center"/>
            <w:hideMark/>
          </w:tcPr>
          <w:p w14:paraId="2954B5BF" w14:textId="7A5EE239" w:rsidR="00287C1A" w:rsidRPr="00287C1A" w:rsidRDefault="00A00814" w:rsidP="00A00814">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2551" w:type="dxa"/>
            <w:tcBorders>
              <w:top w:val="nil"/>
              <w:left w:val="nil"/>
              <w:bottom w:val="single" w:sz="4" w:space="0" w:color="auto"/>
              <w:right w:val="single" w:sz="4" w:space="0" w:color="auto"/>
            </w:tcBorders>
            <w:noWrap/>
            <w:vAlign w:val="center"/>
            <w:hideMark/>
          </w:tcPr>
          <w:p w14:paraId="31CD38A7" w14:textId="76BA4384" w:rsidR="00287C1A" w:rsidRPr="00287C1A" w:rsidRDefault="00A00814" w:rsidP="00A00814">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2977" w:type="dxa"/>
            <w:tcBorders>
              <w:top w:val="nil"/>
              <w:left w:val="nil"/>
              <w:bottom w:val="single" w:sz="4" w:space="0" w:color="auto"/>
              <w:right w:val="single" w:sz="4" w:space="0" w:color="auto"/>
            </w:tcBorders>
            <w:noWrap/>
            <w:vAlign w:val="center"/>
            <w:hideMark/>
          </w:tcPr>
          <w:p w14:paraId="29033776" w14:textId="21685F9C" w:rsidR="00287C1A" w:rsidRPr="00287C1A" w:rsidRDefault="00A00814" w:rsidP="00A00814">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985" w:type="dxa"/>
            <w:tcBorders>
              <w:top w:val="nil"/>
              <w:left w:val="nil"/>
              <w:bottom w:val="single" w:sz="4" w:space="0" w:color="auto"/>
              <w:right w:val="single" w:sz="4" w:space="0" w:color="auto"/>
            </w:tcBorders>
            <w:noWrap/>
            <w:vAlign w:val="center"/>
            <w:hideMark/>
          </w:tcPr>
          <w:p w14:paraId="7B7366B5" w14:textId="61575105" w:rsidR="00287C1A" w:rsidRPr="00287C1A" w:rsidRDefault="00A00814" w:rsidP="00A00814">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r>
      <w:tr w:rsidR="00845CF2" w:rsidRPr="00287C1A" w14:paraId="5F09ACFE" w14:textId="77777777" w:rsidTr="00845CF2">
        <w:trPr>
          <w:trHeight w:val="274"/>
        </w:trPr>
        <w:tc>
          <w:tcPr>
            <w:tcW w:w="14596" w:type="dxa"/>
            <w:gridSpan w:val="7"/>
            <w:tcBorders>
              <w:top w:val="nil"/>
              <w:left w:val="single" w:sz="4" w:space="0" w:color="auto"/>
              <w:bottom w:val="single" w:sz="4" w:space="0" w:color="auto"/>
              <w:right w:val="single" w:sz="4" w:space="0" w:color="auto"/>
            </w:tcBorders>
            <w:noWrap/>
            <w:vAlign w:val="center"/>
            <w:hideMark/>
          </w:tcPr>
          <w:p w14:paraId="0F3D243E" w14:textId="6DF9F2AD" w:rsidR="00845CF2" w:rsidRPr="00845CF2" w:rsidRDefault="00845CF2" w:rsidP="005570DF">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Our gravity network has a condition based maintenance schedule in place. Any identified faults are promptly rectified.</w:t>
            </w:r>
          </w:p>
          <w:p w14:paraId="6463ADA6" w14:textId="6C0D3E6A" w:rsidR="00845CF2" w:rsidRPr="00845CF2" w:rsidRDefault="00845CF2" w:rsidP="00845CF2">
            <w:pPr>
              <w:spacing w:after="0" w:line="240" w:lineRule="auto"/>
              <w:jc w:val="center"/>
              <w:rPr>
                <w:rFonts w:ascii="Aptos Narrow" w:eastAsia="Times New Roman" w:hAnsi="Aptos Narrow" w:cs="Times New Roman"/>
                <w:b/>
                <w:bCs/>
                <w:color w:val="000000"/>
                <w:kern w:val="0"/>
                <w:lang w:eastAsia="en-GB"/>
                <w14:ligatures w14:val="none"/>
              </w:rPr>
            </w:pPr>
          </w:p>
        </w:tc>
      </w:tr>
    </w:tbl>
    <w:p w14:paraId="3359209A" w14:textId="77777777" w:rsidR="00845CF2" w:rsidRDefault="00845CF2" w:rsidP="00FA4874">
      <w:pPr>
        <w:tabs>
          <w:tab w:val="left" w:pos="3440"/>
        </w:tabs>
        <w:rPr>
          <w:b/>
          <w:bCs/>
        </w:rPr>
      </w:pPr>
    </w:p>
    <w:p w14:paraId="042CBFAC" w14:textId="77777777" w:rsidR="005570DF" w:rsidRPr="004954A4" w:rsidRDefault="005570DF" w:rsidP="005570DF">
      <w:pPr>
        <w:tabs>
          <w:tab w:val="left" w:pos="3440"/>
        </w:tabs>
      </w:pPr>
      <w:r>
        <w:lastRenderedPageBreak/>
        <w:t>Table 4 above highlights the measures we have taken to maintain IWNL’s network, which include regular cleaning in line with our defined maintenance plan. Any issues are promptly found and rectified, before they create a pollution incident.</w:t>
      </w:r>
    </w:p>
    <w:p w14:paraId="4201B426" w14:textId="3A841909" w:rsidR="00D6015E" w:rsidRDefault="005570DF" w:rsidP="00FA4874">
      <w:pPr>
        <w:tabs>
          <w:tab w:val="left" w:pos="3440"/>
        </w:tabs>
        <w:rPr>
          <w:b/>
          <w:bCs/>
        </w:rPr>
      </w:pPr>
      <w:r>
        <w:rPr>
          <w:b/>
          <w:bCs/>
        </w:rPr>
        <w:t>TAB</w:t>
      </w:r>
      <w:r w:rsidR="00CB313F">
        <w:rPr>
          <w:b/>
          <w:bCs/>
        </w:rPr>
        <w:t>L</w:t>
      </w:r>
      <w:r>
        <w:rPr>
          <w:b/>
          <w:bCs/>
        </w:rPr>
        <w:t xml:space="preserve">E 5: </w:t>
      </w:r>
      <w:r w:rsidR="00D6015E">
        <w:rPr>
          <w:b/>
          <w:bCs/>
        </w:rPr>
        <w:t>PLANNED ADDITIONAL MEASURES FOR ALL WASTEWATER ASSETS IN 202</w:t>
      </w:r>
      <w:r w:rsidR="00DD6408">
        <w:rPr>
          <w:b/>
          <w:bCs/>
        </w:rPr>
        <w:t>5</w:t>
      </w:r>
    </w:p>
    <w:tbl>
      <w:tblPr>
        <w:tblW w:w="14742" w:type="dxa"/>
        <w:tblInd w:w="-5" w:type="dxa"/>
        <w:tblLook w:val="04A0" w:firstRow="1" w:lastRow="0" w:firstColumn="1" w:lastColumn="0" w:noHBand="0" w:noVBand="1"/>
      </w:tblPr>
      <w:tblGrid>
        <w:gridCol w:w="2268"/>
        <w:gridCol w:w="2040"/>
        <w:gridCol w:w="1510"/>
        <w:gridCol w:w="1837"/>
        <w:gridCol w:w="1559"/>
        <w:gridCol w:w="1843"/>
        <w:gridCol w:w="1984"/>
        <w:gridCol w:w="1701"/>
      </w:tblGrid>
      <w:tr w:rsidR="00D6015E" w:rsidRPr="00D6015E" w14:paraId="2C5541A7" w14:textId="77777777" w:rsidTr="00445639">
        <w:trPr>
          <w:trHeight w:val="800"/>
        </w:trPr>
        <w:tc>
          <w:tcPr>
            <w:tcW w:w="2268" w:type="dxa"/>
            <w:tcBorders>
              <w:top w:val="single" w:sz="4" w:space="0" w:color="auto"/>
              <w:left w:val="single" w:sz="4" w:space="0" w:color="auto"/>
              <w:bottom w:val="single" w:sz="4" w:space="0" w:color="auto"/>
              <w:right w:val="single" w:sz="4" w:space="0" w:color="auto"/>
            </w:tcBorders>
            <w:shd w:val="clear" w:color="000000" w:fill="4EA72E"/>
            <w:noWrap/>
            <w:vAlign w:val="center"/>
            <w:hideMark/>
          </w:tcPr>
          <w:p w14:paraId="63ADC0BA" w14:textId="16587FCE"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Additional measures</w:t>
            </w:r>
          </w:p>
        </w:tc>
        <w:tc>
          <w:tcPr>
            <w:tcW w:w="2040" w:type="dxa"/>
            <w:tcBorders>
              <w:top w:val="single" w:sz="4" w:space="0" w:color="auto"/>
              <w:left w:val="nil"/>
              <w:bottom w:val="single" w:sz="4" w:space="0" w:color="auto"/>
              <w:right w:val="single" w:sz="4" w:space="0" w:color="auto"/>
            </w:tcBorders>
            <w:shd w:val="clear" w:color="000000" w:fill="4EA72E"/>
            <w:noWrap/>
            <w:vAlign w:val="center"/>
            <w:hideMark/>
          </w:tcPr>
          <w:p w14:paraId="1BC79E34" w14:textId="13E02F59"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Description of action(s)</w:t>
            </w:r>
          </w:p>
        </w:tc>
        <w:tc>
          <w:tcPr>
            <w:tcW w:w="1510" w:type="dxa"/>
            <w:tcBorders>
              <w:top w:val="single" w:sz="4" w:space="0" w:color="auto"/>
              <w:left w:val="nil"/>
              <w:bottom w:val="single" w:sz="4" w:space="0" w:color="auto"/>
              <w:right w:val="single" w:sz="4" w:space="0" w:color="auto"/>
            </w:tcBorders>
            <w:shd w:val="clear" w:color="000000" w:fill="4EA72E"/>
            <w:vAlign w:val="center"/>
            <w:hideMark/>
          </w:tcPr>
          <w:p w14:paraId="540CE351" w14:textId="038336C6"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Scale of action(s) in the next calendar year</w:t>
            </w:r>
          </w:p>
        </w:tc>
        <w:tc>
          <w:tcPr>
            <w:tcW w:w="1837" w:type="dxa"/>
            <w:tcBorders>
              <w:top w:val="single" w:sz="4" w:space="0" w:color="auto"/>
              <w:left w:val="nil"/>
              <w:bottom w:val="single" w:sz="4" w:space="0" w:color="auto"/>
              <w:right w:val="single" w:sz="4" w:space="0" w:color="auto"/>
            </w:tcBorders>
            <w:shd w:val="clear" w:color="000000" w:fill="4EA72E"/>
            <w:vAlign w:val="center"/>
            <w:hideMark/>
          </w:tcPr>
          <w:p w14:paraId="0D797DA2" w14:textId="3FA8C3BD"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Expected impact of the measure in the next calendar year (category 1 to 3 incidents prevented)</w:t>
            </w:r>
          </w:p>
        </w:tc>
        <w:tc>
          <w:tcPr>
            <w:tcW w:w="1559" w:type="dxa"/>
            <w:tcBorders>
              <w:top w:val="single" w:sz="4" w:space="0" w:color="auto"/>
              <w:left w:val="nil"/>
              <w:bottom w:val="single" w:sz="4" w:space="0" w:color="auto"/>
              <w:right w:val="single" w:sz="4" w:space="0" w:color="auto"/>
            </w:tcBorders>
            <w:shd w:val="clear" w:color="000000" w:fill="4EA72E"/>
            <w:vAlign w:val="center"/>
            <w:hideMark/>
          </w:tcPr>
          <w:p w14:paraId="08D57637" w14:textId="2520C22B"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Root cause(s) addressed by the measure</w:t>
            </w:r>
          </w:p>
        </w:tc>
        <w:tc>
          <w:tcPr>
            <w:tcW w:w="1843" w:type="dxa"/>
            <w:tcBorders>
              <w:top w:val="single" w:sz="4" w:space="0" w:color="auto"/>
              <w:left w:val="nil"/>
              <w:bottom w:val="single" w:sz="4" w:space="0" w:color="auto"/>
              <w:right w:val="single" w:sz="4" w:space="0" w:color="auto"/>
            </w:tcBorders>
            <w:shd w:val="clear" w:color="000000" w:fill="4EA72E"/>
            <w:vAlign w:val="center"/>
            <w:hideMark/>
          </w:tcPr>
          <w:p w14:paraId="0024BE9A" w14:textId="69853F4F"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 xml:space="preserve">Recent pollution incident performance issues identified in your </w:t>
            </w:r>
            <w:r w:rsidR="0031201A" w:rsidRPr="0031201A">
              <w:rPr>
                <w:rFonts w:ascii="Aptos Narrow" w:eastAsia="Times New Roman" w:hAnsi="Aptos Narrow" w:cs="Times New Roman"/>
                <w:b/>
                <w:bCs/>
                <w:color w:val="000000"/>
                <w:kern w:val="0"/>
                <w:lang w:eastAsia="en-GB"/>
                <w14:ligatures w14:val="none"/>
              </w:rPr>
              <w:t>DWMP</w:t>
            </w:r>
          </w:p>
        </w:tc>
        <w:tc>
          <w:tcPr>
            <w:tcW w:w="1984" w:type="dxa"/>
            <w:tcBorders>
              <w:top w:val="single" w:sz="4" w:space="0" w:color="auto"/>
              <w:left w:val="nil"/>
              <w:bottom w:val="single" w:sz="4" w:space="0" w:color="auto"/>
              <w:right w:val="single" w:sz="4" w:space="0" w:color="auto"/>
            </w:tcBorders>
            <w:shd w:val="clear" w:color="000000" w:fill="4EA72E"/>
            <w:vAlign w:val="center"/>
            <w:hideMark/>
          </w:tcPr>
          <w:p w14:paraId="1CB0CA47" w14:textId="1921DB55"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Implementation start date of the measure</w:t>
            </w:r>
          </w:p>
        </w:tc>
        <w:tc>
          <w:tcPr>
            <w:tcW w:w="1701" w:type="dxa"/>
            <w:tcBorders>
              <w:top w:val="single" w:sz="4" w:space="0" w:color="auto"/>
              <w:left w:val="nil"/>
              <w:bottom w:val="single" w:sz="4" w:space="0" w:color="auto"/>
              <w:right w:val="single" w:sz="4" w:space="0" w:color="auto"/>
            </w:tcBorders>
            <w:shd w:val="clear" w:color="000000" w:fill="4EA72E"/>
            <w:vAlign w:val="center"/>
            <w:hideMark/>
          </w:tcPr>
          <w:p w14:paraId="454CBF57" w14:textId="58CEDCA5" w:rsidR="00D6015E" w:rsidRPr="0031201A" w:rsidRDefault="00D6015E" w:rsidP="00445639">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Implementation completion date of the measure</w:t>
            </w:r>
          </w:p>
        </w:tc>
      </w:tr>
      <w:tr w:rsidR="00D6015E" w:rsidRPr="00D6015E" w14:paraId="3D084BEA" w14:textId="77777777" w:rsidTr="00A00814">
        <w:trPr>
          <w:trHeight w:val="1601"/>
        </w:trPr>
        <w:tc>
          <w:tcPr>
            <w:tcW w:w="2268" w:type="dxa"/>
            <w:tcBorders>
              <w:top w:val="nil"/>
              <w:left w:val="single" w:sz="4" w:space="0" w:color="auto"/>
              <w:bottom w:val="single" w:sz="4" w:space="0" w:color="auto"/>
              <w:right w:val="single" w:sz="4" w:space="0" w:color="auto"/>
            </w:tcBorders>
            <w:shd w:val="clear" w:color="000000" w:fill="DAF2D0"/>
            <w:noWrap/>
            <w:vAlign w:val="center"/>
            <w:hideMark/>
          </w:tcPr>
          <w:p w14:paraId="5DC45D5C" w14:textId="22E168AD" w:rsidR="00D6015E" w:rsidRPr="00D6015E" w:rsidRDefault="00D6015E" w:rsidP="00CA4F84">
            <w:pPr>
              <w:spacing w:after="0" w:line="240" w:lineRule="auto"/>
              <w:rPr>
                <w:rFonts w:ascii="Aptos Narrow" w:eastAsia="Times New Roman" w:hAnsi="Aptos Narrow" w:cs="Times New Roman"/>
                <w:color w:val="000000"/>
                <w:kern w:val="0"/>
                <w:lang w:eastAsia="en-GB"/>
                <w14:ligatures w14:val="none"/>
              </w:rPr>
            </w:pPr>
            <w:r w:rsidRPr="00D6015E">
              <w:rPr>
                <w:rFonts w:ascii="Aptos Narrow" w:eastAsia="Times New Roman" w:hAnsi="Aptos Narrow" w:cs="Times New Roman"/>
                <w:color w:val="000000"/>
                <w:kern w:val="0"/>
                <w:lang w:eastAsia="en-GB"/>
                <w14:ligatures w14:val="none"/>
              </w:rPr>
              <w:t>Customer engagement</w:t>
            </w:r>
          </w:p>
        </w:tc>
        <w:tc>
          <w:tcPr>
            <w:tcW w:w="2040" w:type="dxa"/>
            <w:tcBorders>
              <w:top w:val="nil"/>
              <w:left w:val="nil"/>
              <w:bottom w:val="single" w:sz="4" w:space="0" w:color="auto"/>
              <w:right w:val="single" w:sz="4" w:space="0" w:color="auto"/>
            </w:tcBorders>
            <w:vAlign w:val="center"/>
            <w:hideMark/>
          </w:tcPr>
          <w:p w14:paraId="513E8D61" w14:textId="195641CF" w:rsidR="00D6015E" w:rsidRPr="00D6015E" w:rsidRDefault="00D6015E" w:rsidP="006E3D3A">
            <w:pPr>
              <w:spacing w:after="0" w:line="240" w:lineRule="auto"/>
              <w:jc w:val="center"/>
              <w:rPr>
                <w:rFonts w:ascii="Aptos Narrow" w:eastAsia="Times New Roman" w:hAnsi="Aptos Narrow" w:cs="Times New Roman"/>
                <w:color w:val="000000"/>
                <w:kern w:val="0"/>
                <w:lang w:eastAsia="en-GB"/>
                <w14:ligatures w14:val="none"/>
              </w:rPr>
            </w:pPr>
            <w:r w:rsidRPr="00D6015E">
              <w:rPr>
                <w:rFonts w:ascii="Aptos Narrow" w:eastAsia="Times New Roman" w:hAnsi="Aptos Narrow" w:cs="Times New Roman"/>
                <w:color w:val="000000"/>
                <w:kern w:val="0"/>
                <w:lang w:eastAsia="en-GB"/>
                <w14:ligatures w14:val="none"/>
              </w:rPr>
              <w:t>Provide guidance through targeted communication on proper disposal behaviours (e.g., avoiding fats, oils, wipes)</w:t>
            </w:r>
          </w:p>
        </w:tc>
        <w:tc>
          <w:tcPr>
            <w:tcW w:w="1510" w:type="dxa"/>
            <w:tcBorders>
              <w:top w:val="nil"/>
              <w:left w:val="nil"/>
              <w:bottom w:val="single" w:sz="4" w:space="0" w:color="auto"/>
              <w:right w:val="single" w:sz="4" w:space="0" w:color="auto"/>
            </w:tcBorders>
            <w:vAlign w:val="center"/>
          </w:tcPr>
          <w:p w14:paraId="67C29ED9" w14:textId="493F1233" w:rsidR="00D6015E" w:rsidRPr="00D6015E"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837" w:type="dxa"/>
            <w:tcBorders>
              <w:top w:val="nil"/>
              <w:left w:val="nil"/>
              <w:bottom w:val="single" w:sz="4" w:space="0" w:color="auto"/>
              <w:right w:val="single" w:sz="4" w:space="0" w:color="auto"/>
            </w:tcBorders>
            <w:vAlign w:val="center"/>
          </w:tcPr>
          <w:p w14:paraId="3054D827" w14:textId="4D5B60A8" w:rsidR="00D6015E" w:rsidRPr="00D6015E"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559" w:type="dxa"/>
            <w:tcBorders>
              <w:top w:val="nil"/>
              <w:left w:val="nil"/>
              <w:bottom w:val="single" w:sz="4" w:space="0" w:color="auto"/>
              <w:right w:val="single" w:sz="4" w:space="0" w:color="auto"/>
            </w:tcBorders>
            <w:vAlign w:val="center"/>
          </w:tcPr>
          <w:p w14:paraId="41F52A88" w14:textId="258433D6" w:rsidR="00D6015E" w:rsidRPr="00D6015E"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843" w:type="dxa"/>
            <w:tcBorders>
              <w:top w:val="nil"/>
              <w:left w:val="nil"/>
              <w:bottom w:val="single" w:sz="4" w:space="0" w:color="auto"/>
              <w:right w:val="single" w:sz="4" w:space="0" w:color="auto"/>
            </w:tcBorders>
            <w:vAlign w:val="center"/>
          </w:tcPr>
          <w:p w14:paraId="756D7F7D" w14:textId="5B0D5411" w:rsidR="00D6015E" w:rsidRPr="00D6015E"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984" w:type="dxa"/>
            <w:tcBorders>
              <w:top w:val="nil"/>
              <w:left w:val="nil"/>
              <w:bottom w:val="single" w:sz="4" w:space="0" w:color="auto"/>
              <w:right w:val="single" w:sz="4" w:space="0" w:color="auto"/>
            </w:tcBorders>
            <w:noWrap/>
            <w:vAlign w:val="center"/>
          </w:tcPr>
          <w:p w14:paraId="04C0E7AF" w14:textId="0D470D78" w:rsidR="00D6015E" w:rsidRPr="00D6015E"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701" w:type="dxa"/>
            <w:tcBorders>
              <w:top w:val="nil"/>
              <w:left w:val="nil"/>
              <w:bottom w:val="single" w:sz="4" w:space="0" w:color="auto"/>
              <w:right w:val="single" w:sz="4" w:space="0" w:color="auto"/>
            </w:tcBorders>
            <w:noWrap/>
            <w:vAlign w:val="center"/>
          </w:tcPr>
          <w:p w14:paraId="7784CF0E" w14:textId="3003319C" w:rsidR="00D6015E" w:rsidRPr="00D6015E" w:rsidRDefault="00A00814" w:rsidP="006E3D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r>
      <w:tr w:rsidR="0031201A" w:rsidRPr="00D6015E" w14:paraId="31368E4E" w14:textId="77777777" w:rsidTr="0031201A">
        <w:trPr>
          <w:trHeight w:val="607"/>
        </w:trPr>
        <w:tc>
          <w:tcPr>
            <w:tcW w:w="14742" w:type="dxa"/>
            <w:gridSpan w:val="8"/>
            <w:tcBorders>
              <w:top w:val="nil"/>
              <w:left w:val="single" w:sz="4" w:space="0" w:color="auto"/>
              <w:bottom w:val="single" w:sz="4" w:space="0" w:color="auto"/>
              <w:right w:val="single" w:sz="4" w:space="0" w:color="auto"/>
            </w:tcBorders>
            <w:noWrap/>
            <w:vAlign w:val="center"/>
            <w:hideMark/>
          </w:tcPr>
          <w:p w14:paraId="2C1698A1" w14:textId="77777777" w:rsid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p>
          <w:p w14:paraId="44848522" w14:textId="79EA35EC" w:rsidR="0031201A" w:rsidRP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IWNL have maintenance plans in place for its wastewater assets</w:t>
            </w:r>
          </w:p>
          <w:p w14:paraId="42832AB4" w14:textId="03DD9577" w:rsidR="0031201A" w:rsidRP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p>
          <w:p w14:paraId="5B8C521A" w14:textId="66BBA369" w:rsidR="0031201A" w:rsidRP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p>
        </w:tc>
      </w:tr>
      <w:tr w:rsidR="0031201A" w:rsidRPr="00D6015E" w14:paraId="60127C14" w14:textId="77777777" w:rsidTr="0031201A">
        <w:trPr>
          <w:trHeight w:val="200"/>
        </w:trPr>
        <w:tc>
          <w:tcPr>
            <w:tcW w:w="14742" w:type="dxa"/>
            <w:gridSpan w:val="8"/>
            <w:tcBorders>
              <w:top w:val="nil"/>
              <w:left w:val="single" w:sz="4" w:space="0" w:color="auto"/>
              <w:bottom w:val="single" w:sz="4" w:space="0" w:color="auto"/>
              <w:right w:val="single" w:sz="4" w:space="0" w:color="auto"/>
            </w:tcBorders>
            <w:noWrap/>
            <w:vAlign w:val="center"/>
            <w:hideMark/>
          </w:tcPr>
          <w:p w14:paraId="53BDEFBA" w14:textId="77777777" w:rsid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p>
          <w:p w14:paraId="316206B9" w14:textId="29238BFB" w:rsidR="0031201A" w:rsidRP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We have experienced zero incidents. We have a robust maintenance program to ensure correct asset performance and resilience.</w:t>
            </w:r>
          </w:p>
          <w:p w14:paraId="63A56EB2" w14:textId="38E2CF76" w:rsidR="0031201A" w:rsidRPr="0031201A" w:rsidRDefault="0031201A" w:rsidP="0031201A">
            <w:pPr>
              <w:spacing w:after="0" w:line="240" w:lineRule="auto"/>
              <w:rPr>
                <w:rFonts w:ascii="Aptos Narrow" w:eastAsia="Times New Roman" w:hAnsi="Aptos Narrow" w:cs="Times New Roman"/>
                <w:b/>
                <w:bCs/>
                <w:color w:val="000000"/>
                <w:kern w:val="0"/>
                <w:lang w:eastAsia="en-GB"/>
                <w14:ligatures w14:val="none"/>
              </w:rPr>
            </w:pPr>
          </w:p>
          <w:p w14:paraId="5D7EAF28" w14:textId="703DA6F3" w:rsidR="0031201A" w:rsidRPr="0031201A" w:rsidRDefault="0031201A" w:rsidP="0031201A">
            <w:pPr>
              <w:spacing w:after="0" w:line="240" w:lineRule="auto"/>
              <w:jc w:val="center"/>
              <w:rPr>
                <w:rFonts w:ascii="Aptos Narrow" w:eastAsia="Times New Roman" w:hAnsi="Aptos Narrow" w:cs="Times New Roman"/>
                <w:b/>
                <w:bCs/>
                <w:color w:val="000000"/>
                <w:kern w:val="0"/>
                <w:lang w:eastAsia="en-GB"/>
                <w14:ligatures w14:val="none"/>
              </w:rPr>
            </w:pPr>
          </w:p>
        </w:tc>
      </w:tr>
    </w:tbl>
    <w:p w14:paraId="281EEB01" w14:textId="77777777" w:rsidR="00D6015E" w:rsidRDefault="00D6015E" w:rsidP="00FA4874">
      <w:pPr>
        <w:tabs>
          <w:tab w:val="left" w:pos="3440"/>
        </w:tabs>
        <w:rPr>
          <w:b/>
          <w:bCs/>
        </w:rPr>
      </w:pPr>
    </w:p>
    <w:p w14:paraId="1BE601C4" w14:textId="77777777" w:rsidR="005570DF" w:rsidRDefault="005570DF" w:rsidP="005570DF">
      <w:pPr>
        <w:tabs>
          <w:tab w:val="left" w:pos="3440"/>
        </w:tabs>
      </w:pPr>
      <w:r>
        <w:t>Table 5 above highlights the additional measures IWNL took in 2025 to maintain a report of zero pollution incidents. Our main measure was to provide guidance to our customers of what should, and what should not, be put down the sinks or flushed down the toilets of their homes.</w:t>
      </w:r>
    </w:p>
    <w:p w14:paraId="640486F1" w14:textId="77777777" w:rsidR="004954A4" w:rsidRDefault="004954A4" w:rsidP="004954A4">
      <w:pPr>
        <w:tabs>
          <w:tab w:val="left" w:pos="3440"/>
        </w:tabs>
      </w:pPr>
    </w:p>
    <w:p w14:paraId="54AC3AD6" w14:textId="77777777" w:rsidR="00845CF2" w:rsidRDefault="00845CF2" w:rsidP="00FA4874">
      <w:pPr>
        <w:tabs>
          <w:tab w:val="left" w:pos="3440"/>
        </w:tabs>
        <w:rPr>
          <w:b/>
          <w:bCs/>
        </w:rPr>
      </w:pPr>
    </w:p>
    <w:p w14:paraId="58A8D4C6" w14:textId="77777777" w:rsidR="00291786" w:rsidRDefault="00291786" w:rsidP="00FA4874">
      <w:pPr>
        <w:tabs>
          <w:tab w:val="left" w:pos="3440"/>
        </w:tabs>
        <w:rPr>
          <w:b/>
          <w:bCs/>
        </w:rPr>
      </w:pPr>
    </w:p>
    <w:tbl>
      <w:tblP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601"/>
        <w:gridCol w:w="1272"/>
        <w:gridCol w:w="1676"/>
        <w:gridCol w:w="1676"/>
        <w:gridCol w:w="805"/>
        <w:gridCol w:w="1676"/>
        <w:gridCol w:w="1616"/>
        <w:gridCol w:w="2245"/>
      </w:tblGrid>
      <w:tr w:rsidR="0031201A" w:rsidRPr="0075782C" w14:paraId="12EA293F" w14:textId="77777777" w:rsidTr="00445639">
        <w:trPr>
          <w:trHeight w:val="290"/>
        </w:trPr>
        <w:tc>
          <w:tcPr>
            <w:tcW w:w="14705" w:type="dxa"/>
            <w:gridSpan w:val="9"/>
            <w:noWrap/>
            <w:vAlign w:val="bottom"/>
            <w:hideMark/>
          </w:tcPr>
          <w:p w14:paraId="3A6013F3" w14:textId="06357AFF" w:rsidR="0031201A" w:rsidRPr="0075782C" w:rsidRDefault="005570DF" w:rsidP="0075782C">
            <w:pPr>
              <w:spacing w:after="0" w:line="240" w:lineRule="auto"/>
              <w:rPr>
                <w:rFonts w:ascii="Times New Roman" w:eastAsia="Times New Roman" w:hAnsi="Times New Roman" w:cs="Times New Roman"/>
                <w:kern w:val="0"/>
                <w:sz w:val="20"/>
                <w:szCs w:val="20"/>
                <w:lang w:eastAsia="en-GB"/>
                <w14:ligatures w14:val="none"/>
              </w:rPr>
            </w:pPr>
            <w:r>
              <w:rPr>
                <w:rFonts w:ascii="Aptos Narrow" w:eastAsia="Times New Roman" w:hAnsi="Aptos Narrow" w:cs="Times New Roman"/>
                <w:b/>
                <w:bCs/>
                <w:color w:val="000000"/>
                <w:kern w:val="0"/>
                <w:lang w:eastAsia="en-GB"/>
                <w14:ligatures w14:val="none"/>
              </w:rPr>
              <w:lastRenderedPageBreak/>
              <w:t xml:space="preserve">TABLE 6: </w:t>
            </w:r>
            <w:r w:rsidR="0031201A" w:rsidRPr="0075782C">
              <w:rPr>
                <w:rFonts w:ascii="Aptos Narrow" w:eastAsia="Times New Roman" w:hAnsi="Aptos Narrow" w:cs="Times New Roman"/>
                <w:b/>
                <w:bCs/>
                <w:color w:val="000000"/>
                <w:kern w:val="0"/>
                <w:lang w:eastAsia="en-GB"/>
                <w14:ligatures w14:val="none"/>
              </w:rPr>
              <w:t>SUCCESS OR FAILURE IN IMPLEMENTING THE MEASURES PLANNED IN 202</w:t>
            </w:r>
            <w:r w:rsidR="00DD6408">
              <w:rPr>
                <w:rFonts w:ascii="Aptos Narrow" w:eastAsia="Times New Roman" w:hAnsi="Aptos Narrow" w:cs="Times New Roman"/>
                <w:b/>
                <w:bCs/>
                <w:color w:val="000000"/>
                <w:kern w:val="0"/>
                <w:lang w:eastAsia="en-GB"/>
                <w14:ligatures w14:val="none"/>
              </w:rPr>
              <w:t>5</w:t>
            </w:r>
            <w:r w:rsidR="0031201A" w:rsidRPr="0075782C">
              <w:rPr>
                <w:rFonts w:ascii="Aptos Narrow" w:eastAsia="Times New Roman" w:hAnsi="Aptos Narrow" w:cs="Times New Roman"/>
                <w:b/>
                <w:bCs/>
                <w:color w:val="000000"/>
                <w:kern w:val="0"/>
                <w:lang w:eastAsia="en-GB"/>
                <w14:ligatures w14:val="none"/>
              </w:rPr>
              <w:t xml:space="preserve"> FOR ALL WASTE</w:t>
            </w:r>
            <w:r w:rsidR="0031201A">
              <w:rPr>
                <w:rFonts w:ascii="Aptos Narrow" w:eastAsia="Times New Roman" w:hAnsi="Aptos Narrow" w:cs="Times New Roman"/>
                <w:b/>
                <w:bCs/>
                <w:color w:val="000000"/>
                <w:kern w:val="0"/>
                <w:lang w:eastAsia="en-GB"/>
                <w14:ligatures w14:val="none"/>
              </w:rPr>
              <w:t>W</w:t>
            </w:r>
            <w:r w:rsidR="0031201A" w:rsidRPr="0075782C">
              <w:rPr>
                <w:rFonts w:ascii="Aptos Narrow" w:eastAsia="Times New Roman" w:hAnsi="Aptos Narrow" w:cs="Times New Roman"/>
                <w:b/>
                <w:bCs/>
                <w:color w:val="000000"/>
                <w:kern w:val="0"/>
                <w:lang w:eastAsia="en-GB"/>
                <w14:ligatures w14:val="none"/>
              </w:rPr>
              <w:t>ATER ASSETS</w:t>
            </w:r>
          </w:p>
        </w:tc>
      </w:tr>
      <w:tr w:rsidR="0075782C" w:rsidRPr="0075782C" w14:paraId="0ECF9565" w14:textId="77777777" w:rsidTr="00445639">
        <w:trPr>
          <w:trHeight w:val="1740"/>
        </w:trPr>
        <w:tc>
          <w:tcPr>
            <w:tcW w:w="2138" w:type="dxa"/>
            <w:shd w:val="clear" w:color="000000" w:fill="4EA72E"/>
            <w:vAlign w:val="center"/>
            <w:hideMark/>
          </w:tcPr>
          <w:p w14:paraId="570D37C1" w14:textId="2DE017D2"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Measures</w:t>
            </w:r>
          </w:p>
        </w:tc>
        <w:tc>
          <w:tcPr>
            <w:tcW w:w="1601" w:type="dxa"/>
            <w:shd w:val="clear" w:color="000000" w:fill="4EA72E"/>
            <w:vAlign w:val="center"/>
            <w:hideMark/>
          </w:tcPr>
          <w:p w14:paraId="3120CAC5" w14:textId="28737425"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Description of action(s)</w:t>
            </w:r>
          </w:p>
        </w:tc>
        <w:tc>
          <w:tcPr>
            <w:tcW w:w="1272" w:type="dxa"/>
            <w:shd w:val="clear" w:color="000000" w:fill="4EA72E"/>
            <w:vAlign w:val="center"/>
            <w:hideMark/>
          </w:tcPr>
          <w:p w14:paraId="520FB15F" w14:textId="31B8FE42"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Scale of action(s)</w:t>
            </w:r>
          </w:p>
        </w:tc>
        <w:tc>
          <w:tcPr>
            <w:tcW w:w="1676" w:type="dxa"/>
            <w:shd w:val="clear" w:color="000000" w:fill="4EA72E"/>
            <w:vAlign w:val="center"/>
            <w:hideMark/>
          </w:tcPr>
          <w:p w14:paraId="3F146021" w14:textId="41C91861"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Planned implementation start date of the measure</w:t>
            </w:r>
          </w:p>
        </w:tc>
        <w:tc>
          <w:tcPr>
            <w:tcW w:w="1676" w:type="dxa"/>
            <w:shd w:val="clear" w:color="000000" w:fill="4EA72E"/>
            <w:vAlign w:val="center"/>
            <w:hideMark/>
          </w:tcPr>
          <w:p w14:paraId="0BB8AAEF" w14:textId="0AC67AA4"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Extent of implementation planned or achieved at the end of the previous calendar year</w:t>
            </w:r>
          </w:p>
        </w:tc>
        <w:tc>
          <w:tcPr>
            <w:tcW w:w="805" w:type="dxa"/>
            <w:shd w:val="clear" w:color="000000" w:fill="4EA72E"/>
            <w:vAlign w:val="center"/>
            <w:hideMark/>
          </w:tcPr>
          <w:p w14:paraId="4682373D" w14:textId="5757A043"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p>
        </w:tc>
        <w:tc>
          <w:tcPr>
            <w:tcW w:w="1676" w:type="dxa"/>
            <w:shd w:val="clear" w:color="000000" w:fill="4EA72E"/>
            <w:vAlign w:val="center"/>
            <w:hideMark/>
          </w:tcPr>
          <w:p w14:paraId="0C8E03A4" w14:textId="01A73B4F"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Position of implementation at the end of previous calendar year</w:t>
            </w:r>
          </w:p>
        </w:tc>
        <w:tc>
          <w:tcPr>
            <w:tcW w:w="1616" w:type="dxa"/>
            <w:shd w:val="clear" w:color="000000" w:fill="4EA72E"/>
            <w:vAlign w:val="center"/>
            <w:hideMark/>
          </w:tcPr>
          <w:p w14:paraId="3F2E744F" w14:textId="5E984D8E"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Explanation</w:t>
            </w:r>
          </w:p>
        </w:tc>
        <w:tc>
          <w:tcPr>
            <w:tcW w:w="2245" w:type="dxa"/>
            <w:shd w:val="clear" w:color="000000" w:fill="4EA72E"/>
            <w:vAlign w:val="center"/>
            <w:hideMark/>
          </w:tcPr>
          <w:p w14:paraId="7430CA58" w14:textId="3302D049" w:rsidR="0075782C" w:rsidRPr="0031201A" w:rsidRDefault="0075782C" w:rsidP="0075782C">
            <w:pPr>
              <w:spacing w:after="0" w:line="240" w:lineRule="auto"/>
              <w:jc w:val="center"/>
              <w:rPr>
                <w:rFonts w:ascii="Aptos Narrow" w:eastAsia="Times New Roman" w:hAnsi="Aptos Narrow" w:cs="Times New Roman"/>
                <w:b/>
                <w:bCs/>
                <w:color w:val="000000"/>
                <w:kern w:val="0"/>
                <w:lang w:eastAsia="en-GB"/>
                <w14:ligatures w14:val="none"/>
              </w:rPr>
            </w:pPr>
            <w:r w:rsidRPr="0031201A">
              <w:rPr>
                <w:rFonts w:ascii="Aptos Narrow" w:eastAsia="Times New Roman" w:hAnsi="Aptos Narrow" w:cs="Times New Roman"/>
                <w:b/>
                <w:bCs/>
                <w:color w:val="000000"/>
                <w:kern w:val="0"/>
                <w:lang w:eastAsia="en-GB"/>
                <w14:ligatures w14:val="none"/>
              </w:rPr>
              <w:t>How to avoid repeat failure</w:t>
            </w:r>
          </w:p>
        </w:tc>
      </w:tr>
      <w:tr w:rsidR="0075782C" w:rsidRPr="0075782C" w14:paraId="16700766" w14:textId="77777777" w:rsidTr="00A00814">
        <w:trPr>
          <w:trHeight w:val="2320"/>
        </w:trPr>
        <w:tc>
          <w:tcPr>
            <w:tcW w:w="2138" w:type="dxa"/>
            <w:shd w:val="clear" w:color="auto" w:fill="D9F2D0" w:themeFill="accent6" w:themeFillTint="33"/>
            <w:noWrap/>
            <w:vAlign w:val="center"/>
            <w:hideMark/>
          </w:tcPr>
          <w:p w14:paraId="4CA30E3F" w14:textId="476FBBE9" w:rsidR="0075782C" w:rsidRPr="0075782C" w:rsidRDefault="0075782C" w:rsidP="0075782C">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Customer engagement</w:t>
            </w:r>
          </w:p>
        </w:tc>
        <w:tc>
          <w:tcPr>
            <w:tcW w:w="1601" w:type="dxa"/>
            <w:vAlign w:val="center"/>
            <w:hideMark/>
          </w:tcPr>
          <w:p w14:paraId="26665676" w14:textId="2AA275FF" w:rsidR="0075782C" w:rsidRPr="0075782C" w:rsidRDefault="0075782C" w:rsidP="0075782C">
            <w:pPr>
              <w:spacing w:after="0" w:line="240" w:lineRule="auto"/>
              <w:jc w:val="center"/>
              <w:rPr>
                <w:rFonts w:ascii="Aptos Narrow" w:eastAsia="Times New Roman" w:hAnsi="Aptos Narrow" w:cs="Times New Roman"/>
                <w:color w:val="000000"/>
                <w:kern w:val="0"/>
                <w:lang w:eastAsia="en-GB"/>
                <w14:ligatures w14:val="none"/>
              </w:rPr>
            </w:pPr>
            <w:r w:rsidRPr="0075782C">
              <w:rPr>
                <w:rFonts w:ascii="Aptos Narrow" w:eastAsia="Times New Roman" w:hAnsi="Aptos Narrow" w:cs="Times New Roman"/>
                <w:color w:val="000000"/>
                <w:kern w:val="0"/>
                <w:lang w:eastAsia="en-GB"/>
                <w14:ligatures w14:val="none"/>
              </w:rPr>
              <w:t>Provide guidance through targeted communication on proper disposal behaviours (e.g. avoiding fats, oils, wipes)</w:t>
            </w:r>
          </w:p>
        </w:tc>
        <w:tc>
          <w:tcPr>
            <w:tcW w:w="1272" w:type="dxa"/>
            <w:vAlign w:val="center"/>
          </w:tcPr>
          <w:p w14:paraId="3F0FC2F6" w14:textId="33556510" w:rsidR="0075782C" w:rsidRPr="0075782C" w:rsidRDefault="00A00814" w:rsidP="0075782C">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676" w:type="dxa"/>
            <w:noWrap/>
            <w:vAlign w:val="center"/>
          </w:tcPr>
          <w:p w14:paraId="5AB725E4" w14:textId="7AF2E281" w:rsidR="0075782C" w:rsidRPr="0075782C" w:rsidRDefault="00A00814" w:rsidP="0075782C">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676" w:type="dxa"/>
            <w:noWrap/>
            <w:vAlign w:val="center"/>
          </w:tcPr>
          <w:p w14:paraId="3F358374" w14:textId="5CF1AD70" w:rsidR="0075782C" w:rsidRPr="0075782C" w:rsidRDefault="00A00814" w:rsidP="0075782C">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805" w:type="dxa"/>
            <w:noWrap/>
            <w:vAlign w:val="center"/>
          </w:tcPr>
          <w:p w14:paraId="0300DB00" w14:textId="3E0D92F6" w:rsidR="0075782C" w:rsidRPr="0075782C" w:rsidRDefault="0075782C" w:rsidP="0075782C">
            <w:pPr>
              <w:spacing w:after="0" w:line="240" w:lineRule="auto"/>
              <w:jc w:val="center"/>
              <w:rPr>
                <w:rFonts w:ascii="Aptos Narrow" w:eastAsia="Times New Roman" w:hAnsi="Aptos Narrow" w:cs="Times New Roman"/>
                <w:color w:val="000000"/>
                <w:kern w:val="0"/>
                <w:lang w:eastAsia="en-GB"/>
                <w14:ligatures w14:val="none"/>
              </w:rPr>
            </w:pPr>
          </w:p>
        </w:tc>
        <w:tc>
          <w:tcPr>
            <w:tcW w:w="1676" w:type="dxa"/>
            <w:noWrap/>
            <w:vAlign w:val="center"/>
          </w:tcPr>
          <w:p w14:paraId="52DE4B04" w14:textId="46D80D48" w:rsidR="0075782C" w:rsidRPr="0075782C" w:rsidRDefault="00A00814" w:rsidP="0075782C">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1616" w:type="dxa"/>
            <w:vAlign w:val="center"/>
          </w:tcPr>
          <w:p w14:paraId="34F0C541" w14:textId="456A2911" w:rsidR="0075782C" w:rsidRPr="0075782C" w:rsidRDefault="00A00814" w:rsidP="0075782C">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c>
          <w:tcPr>
            <w:tcW w:w="2245" w:type="dxa"/>
            <w:vAlign w:val="center"/>
          </w:tcPr>
          <w:p w14:paraId="13CC0F34" w14:textId="7CEF82E5" w:rsidR="0075782C" w:rsidRPr="0075782C" w:rsidRDefault="00A00814" w:rsidP="0075782C">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N/A</w:t>
            </w:r>
          </w:p>
        </w:tc>
      </w:tr>
      <w:tr w:rsidR="00445639" w:rsidRPr="0075782C" w14:paraId="35FE8FFB" w14:textId="77777777" w:rsidTr="00445639">
        <w:trPr>
          <w:trHeight w:val="290"/>
        </w:trPr>
        <w:tc>
          <w:tcPr>
            <w:tcW w:w="14705" w:type="dxa"/>
            <w:gridSpan w:val="9"/>
            <w:noWrap/>
            <w:vAlign w:val="center"/>
            <w:hideMark/>
          </w:tcPr>
          <w:p w14:paraId="54C4D6C1" w14:textId="77777777" w:rsidR="00445639" w:rsidRDefault="00445639" w:rsidP="0075782C">
            <w:pPr>
              <w:spacing w:after="0" w:line="240" w:lineRule="auto"/>
              <w:jc w:val="center"/>
              <w:rPr>
                <w:rFonts w:ascii="Aptos Narrow" w:eastAsia="Times New Roman" w:hAnsi="Aptos Narrow" w:cs="Times New Roman"/>
                <w:b/>
                <w:bCs/>
                <w:color w:val="000000"/>
                <w:kern w:val="0"/>
                <w:lang w:eastAsia="en-GB"/>
                <w14:ligatures w14:val="none"/>
              </w:rPr>
            </w:pPr>
          </w:p>
          <w:p w14:paraId="797AB6BB" w14:textId="73C12C13" w:rsidR="00445639" w:rsidRDefault="00445639" w:rsidP="0075782C">
            <w:pPr>
              <w:spacing w:after="0" w:line="240" w:lineRule="auto"/>
              <w:jc w:val="center"/>
              <w:rPr>
                <w:rFonts w:ascii="Aptos Narrow" w:eastAsia="Times New Roman" w:hAnsi="Aptos Narrow" w:cs="Times New Roman"/>
                <w:b/>
                <w:bCs/>
                <w:color w:val="000000"/>
                <w:kern w:val="0"/>
                <w:lang w:eastAsia="en-GB"/>
                <w14:ligatures w14:val="none"/>
              </w:rPr>
            </w:pPr>
            <w:r w:rsidRPr="00445639">
              <w:rPr>
                <w:rFonts w:ascii="Aptos Narrow" w:eastAsia="Times New Roman" w:hAnsi="Aptos Narrow" w:cs="Times New Roman"/>
                <w:b/>
                <w:bCs/>
                <w:color w:val="000000"/>
                <w:kern w:val="0"/>
                <w:lang w:eastAsia="en-GB"/>
                <w14:ligatures w14:val="none"/>
              </w:rPr>
              <w:t>IWNL have maintenance plans in place for its wastewater assets</w:t>
            </w:r>
            <w:r>
              <w:rPr>
                <w:rFonts w:ascii="Aptos Narrow" w:eastAsia="Times New Roman" w:hAnsi="Aptos Narrow" w:cs="Times New Roman"/>
                <w:b/>
                <w:bCs/>
                <w:color w:val="000000"/>
                <w:kern w:val="0"/>
                <w:lang w:eastAsia="en-GB"/>
                <w14:ligatures w14:val="none"/>
              </w:rPr>
              <w:t>.</w:t>
            </w:r>
          </w:p>
          <w:p w14:paraId="35E9C78A" w14:textId="77777777" w:rsidR="00445639" w:rsidRDefault="00445639" w:rsidP="0075782C">
            <w:pPr>
              <w:spacing w:after="0" w:line="240" w:lineRule="auto"/>
              <w:jc w:val="center"/>
              <w:rPr>
                <w:rFonts w:ascii="Aptos Narrow" w:eastAsia="Times New Roman" w:hAnsi="Aptos Narrow" w:cs="Times New Roman"/>
                <w:b/>
                <w:bCs/>
                <w:color w:val="000000"/>
                <w:kern w:val="0"/>
                <w:lang w:eastAsia="en-GB"/>
                <w14:ligatures w14:val="none"/>
              </w:rPr>
            </w:pPr>
          </w:p>
          <w:p w14:paraId="1C139317" w14:textId="29F7D288" w:rsidR="00445639" w:rsidRPr="00445639" w:rsidRDefault="00445639" w:rsidP="0075782C">
            <w:pPr>
              <w:spacing w:after="0" w:line="240" w:lineRule="auto"/>
              <w:jc w:val="center"/>
              <w:rPr>
                <w:rFonts w:ascii="Times New Roman" w:eastAsia="Times New Roman" w:hAnsi="Times New Roman" w:cs="Times New Roman"/>
                <w:b/>
                <w:bCs/>
                <w:kern w:val="0"/>
                <w:sz w:val="20"/>
                <w:szCs w:val="20"/>
                <w:lang w:eastAsia="en-GB"/>
                <w14:ligatures w14:val="none"/>
              </w:rPr>
            </w:pPr>
          </w:p>
        </w:tc>
      </w:tr>
      <w:tr w:rsidR="00845CF2" w:rsidRPr="0075782C" w14:paraId="63C5BF69" w14:textId="77777777" w:rsidTr="00445639">
        <w:trPr>
          <w:trHeight w:val="290"/>
        </w:trPr>
        <w:tc>
          <w:tcPr>
            <w:tcW w:w="14705" w:type="dxa"/>
            <w:gridSpan w:val="9"/>
            <w:noWrap/>
            <w:vAlign w:val="center"/>
            <w:hideMark/>
          </w:tcPr>
          <w:p w14:paraId="0ACB3AD2" w14:textId="77777777" w:rsidR="00845CF2" w:rsidRDefault="00845CF2" w:rsidP="00845CF2">
            <w:pPr>
              <w:spacing w:after="0" w:line="240" w:lineRule="auto"/>
              <w:jc w:val="center"/>
              <w:rPr>
                <w:rFonts w:ascii="Aptos Narrow" w:eastAsia="Times New Roman" w:hAnsi="Aptos Narrow" w:cs="Times New Roman"/>
                <w:b/>
                <w:bCs/>
                <w:color w:val="000000"/>
                <w:kern w:val="0"/>
                <w:lang w:eastAsia="en-GB"/>
                <w14:ligatures w14:val="none"/>
              </w:rPr>
            </w:pPr>
          </w:p>
          <w:p w14:paraId="0529F0A4" w14:textId="04D2170F" w:rsidR="00845CF2" w:rsidRDefault="00845CF2" w:rsidP="00845CF2">
            <w:pPr>
              <w:spacing w:after="0" w:line="240" w:lineRule="auto"/>
              <w:jc w:val="center"/>
              <w:rPr>
                <w:rFonts w:ascii="Aptos Narrow" w:eastAsia="Times New Roman" w:hAnsi="Aptos Narrow" w:cs="Times New Roman"/>
                <w:b/>
                <w:bCs/>
                <w:color w:val="000000"/>
                <w:kern w:val="0"/>
                <w:lang w:eastAsia="en-GB"/>
                <w14:ligatures w14:val="none"/>
              </w:rPr>
            </w:pPr>
            <w:r w:rsidRPr="00845CF2">
              <w:rPr>
                <w:rFonts w:ascii="Aptos Narrow" w:eastAsia="Times New Roman" w:hAnsi="Aptos Narrow" w:cs="Times New Roman"/>
                <w:b/>
                <w:bCs/>
                <w:color w:val="000000"/>
                <w:kern w:val="0"/>
                <w:lang w:eastAsia="en-GB"/>
                <w14:ligatures w14:val="none"/>
              </w:rPr>
              <w:t>We have experienced zero incidents. We have a robust maintenance program to ensure correct asset performance and resilience.</w:t>
            </w:r>
          </w:p>
          <w:p w14:paraId="1407A859" w14:textId="77777777" w:rsidR="00845CF2" w:rsidRDefault="00845CF2" w:rsidP="00845CF2">
            <w:pPr>
              <w:spacing w:after="0" w:line="240" w:lineRule="auto"/>
              <w:jc w:val="center"/>
              <w:rPr>
                <w:rFonts w:ascii="Times New Roman" w:eastAsia="Times New Roman" w:hAnsi="Times New Roman" w:cs="Times New Roman"/>
                <w:b/>
                <w:bCs/>
                <w:kern w:val="0"/>
                <w:sz w:val="20"/>
                <w:szCs w:val="20"/>
                <w:lang w:eastAsia="en-GB"/>
                <w14:ligatures w14:val="none"/>
              </w:rPr>
            </w:pPr>
          </w:p>
          <w:p w14:paraId="252A532E" w14:textId="6F14061F" w:rsidR="00845CF2" w:rsidRPr="00845CF2" w:rsidRDefault="00845CF2" w:rsidP="00845CF2">
            <w:pPr>
              <w:spacing w:after="0" w:line="240" w:lineRule="auto"/>
              <w:jc w:val="center"/>
              <w:rPr>
                <w:rFonts w:ascii="Times New Roman" w:eastAsia="Times New Roman" w:hAnsi="Times New Roman" w:cs="Times New Roman"/>
                <w:b/>
                <w:bCs/>
                <w:kern w:val="0"/>
                <w:sz w:val="20"/>
                <w:szCs w:val="20"/>
                <w:lang w:eastAsia="en-GB"/>
                <w14:ligatures w14:val="none"/>
              </w:rPr>
            </w:pPr>
          </w:p>
        </w:tc>
      </w:tr>
    </w:tbl>
    <w:p w14:paraId="788324B9" w14:textId="415F807D" w:rsidR="00291786" w:rsidRDefault="00291786" w:rsidP="00FA4874">
      <w:pPr>
        <w:tabs>
          <w:tab w:val="left" w:pos="3440"/>
        </w:tabs>
        <w:rPr>
          <w:b/>
          <w:bCs/>
        </w:rPr>
      </w:pPr>
    </w:p>
    <w:p w14:paraId="1A3070CD" w14:textId="77777777" w:rsidR="005570DF" w:rsidRDefault="005570DF" w:rsidP="005570DF">
      <w:pPr>
        <w:tabs>
          <w:tab w:val="left" w:pos="3440"/>
        </w:tabs>
      </w:pPr>
      <w:r>
        <w:t>Table 6 above is intended to illustrate the success or failure of the measures we had planned to reduce pollution incidents in 2025. As we did not have any pollution incidents in the preceding year, it has not had a material impact on our performance.</w:t>
      </w:r>
    </w:p>
    <w:p w14:paraId="37629977" w14:textId="6BEDBB1E" w:rsidR="00BE59D9" w:rsidRDefault="00BE59D9" w:rsidP="005570DF">
      <w:pPr>
        <w:tabs>
          <w:tab w:val="left" w:pos="3440"/>
        </w:tabs>
      </w:pPr>
    </w:p>
    <w:sectPr w:rsidR="00BE59D9" w:rsidSect="00D601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3109E"/>
    <w:multiLevelType w:val="multilevel"/>
    <w:tmpl w:val="7582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074FCD"/>
    <w:multiLevelType w:val="multilevel"/>
    <w:tmpl w:val="48D2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829849">
    <w:abstractNumId w:val="0"/>
  </w:num>
  <w:num w:numId="2" w16cid:durableId="201858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74"/>
    <w:rsid w:val="0002159E"/>
    <w:rsid w:val="00045D6F"/>
    <w:rsid w:val="00074FCA"/>
    <w:rsid w:val="000C0819"/>
    <w:rsid w:val="000F0896"/>
    <w:rsid w:val="00236646"/>
    <w:rsid w:val="00270671"/>
    <w:rsid w:val="00287C1A"/>
    <w:rsid w:val="00291786"/>
    <w:rsid w:val="0031201A"/>
    <w:rsid w:val="00323B83"/>
    <w:rsid w:val="00353B53"/>
    <w:rsid w:val="00376959"/>
    <w:rsid w:val="00380559"/>
    <w:rsid w:val="003930DD"/>
    <w:rsid w:val="003C53F0"/>
    <w:rsid w:val="00445639"/>
    <w:rsid w:val="00456873"/>
    <w:rsid w:val="004954A4"/>
    <w:rsid w:val="004E1CD3"/>
    <w:rsid w:val="00540B3A"/>
    <w:rsid w:val="005570DF"/>
    <w:rsid w:val="005E3EEA"/>
    <w:rsid w:val="006158B4"/>
    <w:rsid w:val="00647243"/>
    <w:rsid w:val="006A3C27"/>
    <w:rsid w:val="006B656D"/>
    <w:rsid w:val="006E3D3A"/>
    <w:rsid w:val="0075782C"/>
    <w:rsid w:val="00845CF2"/>
    <w:rsid w:val="0088428C"/>
    <w:rsid w:val="008F3F90"/>
    <w:rsid w:val="00A00814"/>
    <w:rsid w:val="00A07E4B"/>
    <w:rsid w:val="00A46230"/>
    <w:rsid w:val="00A72B45"/>
    <w:rsid w:val="00B3078C"/>
    <w:rsid w:val="00BE59D9"/>
    <w:rsid w:val="00C2022F"/>
    <w:rsid w:val="00C60DF4"/>
    <w:rsid w:val="00CA4F84"/>
    <w:rsid w:val="00CB313F"/>
    <w:rsid w:val="00CD7435"/>
    <w:rsid w:val="00D6015E"/>
    <w:rsid w:val="00DD6408"/>
    <w:rsid w:val="00EC5D6F"/>
    <w:rsid w:val="00F14E74"/>
    <w:rsid w:val="00F83285"/>
    <w:rsid w:val="00FA07F5"/>
    <w:rsid w:val="00FA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2D17"/>
  <w15:chartTrackingRefBased/>
  <w15:docId w15:val="{A136BB9C-1402-4864-91FE-461AE976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874"/>
    <w:rPr>
      <w:rFonts w:eastAsiaTheme="majorEastAsia" w:cstheme="majorBidi"/>
      <w:color w:val="272727" w:themeColor="text1" w:themeTint="D8"/>
    </w:rPr>
  </w:style>
  <w:style w:type="paragraph" w:styleId="Title">
    <w:name w:val="Title"/>
    <w:basedOn w:val="Normal"/>
    <w:next w:val="Normal"/>
    <w:link w:val="TitleChar"/>
    <w:uiPriority w:val="10"/>
    <w:qFormat/>
    <w:rsid w:val="00FA4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874"/>
    <w:pPr>
      <w:spacing w:before="160"/>
      <w:jc w:val="center"/>
    </w:pPr>
    <w:rPr>
      <w:i/>
      <w:iCs/>
      <w:color w:val="404040" w:themeColor="text1" w:themeTint="BF"/>
    </w:rPr>
  </w:style>
  <w:style w:type="character" w:customStyle="1" w:styleId="QuoteChar">
    <w:name w:val="Quote Char"/>
    <w:basedOn w:val="DefaultParagraphFont"/>
    <w:link w:val="Quote"/>
    <w:uiPriority w:val="29"/>
    <w:rsid w:val="00FA4874"/>
    <w:rPr>
      <w:i/>
      <w:iCs/>
      <w:color w:val="404040" w:themeColor="text1" w:themeTint="BF"/>
    </w:rPr>
  </w:style>
  <w:style w:type="paragraph" w:styleId="ListParagraph">
    <w:name w:val="List Paragraph"/>
    <w:basedOn w:val="Normal"/>
    <w:uiPriority w:val="34"/>
    <w:qFormat/>
    <w:rsid w:val="00FA4874"/>
    <w:pPr>
      <w:ind w:left="720"/>
      <w:contextualSpacing/>
    </w:pPr>
  </w:style>
  <w:style w:type="character" w:styleId="IntenseEmphasis">
    <w:name w:val="Intense Emphasis"/>
    <w:basedOn w:val="DefaultParagraphFont"/>
    <w:uiPriority w:val="21"/>
    <w:qFormat/>
    <w:rsid w:val="00FA4874"/>
    <w:rPr>
      <w:i/>
      <w:iCs/>
      <w:color w:val="0F4761" w:themeColor="accent1" w:themeShade="BF"/>
    </w:rPr>
  </w:style>
  <w:style w:type="paragraph" w:styleId="IntenseQuote">
    <w:name w:val="Intense Quote"/>
    <w:basedOn w:val="Normal"/>
    <w:next w:val="Normal"/>
    <w:link w:val="IntenseQuoteChar"/>
    <w:uiPriority w:val="30"/>
    <w:qFormat/>
    <w:rsid w:val="00FA4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874"/>
    <w:rPr>
      <w:i/>
      <w:iCs/>
      <w:color w:val="0F4761" w:themeColor="accent1" w:themeShade="BF"/>
    </w:rPr>
  </w:style>
  <w:style w:type="character" w:styleId="IntenseReference">
    <w:name w:val="Intense Reference"/>
    <w:basedOn w:val="DefaultParagraphFont"/>
    <w:uiPriority w:val="32"/>
    <w:qFormat/>
    <w:rsid w:val="00FA4874"/>
    <w:rPr>
      <w:b/>
      <w:bCs/>
      <w:smallCaps/>
      <w:color w:val="0F4761" w:themeColor="accent1" w:themeShade="BF"/>
      <w:spacing w:val="5"/>
    </w:rPr>
  </w:style>
  <w:style w:type="character" w:styleId="Hyperlink">
    <w:name w:val="Hyperlink"/>
    <w:basedOn w:val="DefaultParagraphFont"/>
    <w:uiPriority w:val="99"/>
    <w:unhideWhenUsed/>
    <w:rsid w:val="005570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sets.publishing.service.gov.uk/media/688c746564845fffe80890e0/Appendix_4.18_LIT_11227_-_Incidents_and_their_classification_common_incident_classification_scheme__CICS_.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400D-5DC2-4F54-81CC-78E6435D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1176</Words>
  <Characters>6188</Characters>
  <Application>Microsoft Office Word</Application>
  <DocSecurity>0</DocSecurity>
  <Lines>412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Jolly</dc:creator>
  <cp:keywords/>
  <dc:description/>
  <cp:lastModifiedBy>Adam Jolly</cp:lastModifiedBy>
  <cp:revision>17</cp:revision>
  <dcterms:created xsi:type="dcterms:W3CDTF">2026-02-23T15:20:00Z</dcterms:created>
  <dcterms:modified xsi:type="dcterms:W3CDTF">2026-03-10T10:10:00Z</dcterms:modified>
</cp:coreProperties>
</file>